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4"/>
          <w:szCs w:val="44"/>
        </w:rPr>
        <w:t xml:space="preserve">Flexy — FRA Financial Model</w:t>
      </w:r>
    </w:p>
    <w:p>
      <w:pPr>
        <w:spacing w:after="40"/>
      </w:pPr>
      <w:r>
        <w:rPr>
          <w:color w:val="595959"/>
          <w:sz w:val="30"/>
          <w:szCs w:val="30"/>
        </w:rPr>
        <w:t xml:space="preserve">Forensic Repair — Reviewer Report</w:t>
      </w:r>
    </w:p>
    <w:p>
      <w:pPr>
        <w:spacing w:after="400"/>
      </w:pPr>
      <w:r>
        <w:rPr>
          <w:i/>
          <w:iCs/>
          <w:color w:val="595959"/>
          <w:sz w:val="20"/>
          <w:szCs w:val="20"/>
        </w:rPr>
        <w:t xml:space="preserve">Prepared for internal / FRA submission readiness review — not for inclusion in the submitted workbook</w:t>
      </w:r>
    </w:p>
    <w:p>
      <w:pPr>
        <w:pStyle w:val="Heading1"/>
        <w:spacing w:after="160" w:before="360"/>
      </w:pPr>
      <w:r>
        <w:t xml:space="preserve">1. Summary</w:t>
      </w:r>
    </w:p>
    <w:p>
      <w:pPr>
        <w:spacing w:after="160"/>
      </w:pPr>
      <w:r>
        <w:t xml:space="preserve">The workbook “Flexy_FRA_Financial_Model_Year1_Year5_FINAL.xlsx” was audited and repaired. The single critical defect requested for correction — the Year 2 borrowing-leverage ceiling incorrectly switching from 4× to 9× partway through Year 2 — was located, fixed, and independently verified. The approved Year 1 and Year 2 business-plan figures were confirmed unchanged (zero-variance freeze test). The corrected model now shows the real Year 2 regulatory gap honestly, with quantified mitigation options, instead of a manufactured PASS.</w:t>
      </w:r>
    </w:p>
    <w:p>
      <w:pPr>
        <w:spacing w:after="60"/>
      </w:pPr>
      <w:r>
        <w:rPr>
          <w:b/>
          <w:bCs/>
        </w:rPr>
        <w:t xml:space="preserve">Workbook audited: </w:t>
      </w:r>
      <w:r>
        <w:rPr>
          <w:b w:val="false"/>
          <w:bCs w:val="false"/>
        </w:rPr>
        <w:t xml:space="preserve">33 sheets, 4,783 formulas</w:t>
      </w:r>
    </w:p>
    <w:p>
      <w:pPr>
        <w:spacing w:after="60"/>
      </w:pPr>
      <w:r>
        <w:rPr>
          <w:b/>
          <w:bCs/>
        </w:rPr>
        <w:t xml:space="preserve">Critical finding: </w:t>
      </w:r>
      <w:r>
        <w:rPr>
          <w:b/>
          <w:bCs/>
          <w:color w:val="1E7B34"/>
        </w:rPr>
        <w:t xml:space="preserve">Year 2 leverage cap defect — CORRECTED</w:t>
      </w:r>
    </w:p>
    <w:p>
      <w:pPr>
        <w:spacing w:after="60"/>
      </w:pPr>
      <w:r>
        <w:rPr>
          <w:b/>
          <w:bCs/>
        </w:rPr>
        <w:t xml:space="preserve">Year 1 / Year 2 approved plan figures: </w:t>
      </w:r>
      <w:r>
        <w:rPr>
          <w:b/>
          <w:bCs/>
          <w:color w:val="1E7B34"/>
        </w:rPr>
        <w:t xml:space="preserve">0 unauthorized changes (freeze test passed)</w:t>
      </w:r>
    </w:p>
    <w:p>
      <w:pPr>
        <w:spacing w:after="60"/>
      </w:pPr>
      <w:r>
        <w:rPr>
          <w:b/>
          <w:bCs/>
        </w:rPr>
        <w:t xml:space="preserve">Formula syntax scan: </w:t>
      </w:r>
      <w:r>
        <w:rPr>
          <w:b/>
          <w:bCs/>
          <w:color w:val="1E7B34"/>
        </w:rPr>
        <w:t xml:space="preserve">0 issues across all 4,783 formulas</w:t>
      </w:r>
    </w:p>
    <w:p>
      <w:pPr>
        <w:spacing w:after="60"/>
      </w:pPr>
      <w:r>
        <w:rPr>
          <w:b/>
          <w:bCs/>
        </w:rPr>
        <w:t xml:space="preserve">Pre-existing cached Excel errors (original file): </w:t>
      </w:r>
      <w:r>
        <w:rPr>
          <w:b/>
          <w:bCs/>
          <w:color w:val="1E7B34"/>
        </w:rPr>
        <w:t xml:space="preserve">0</w:t>
      </w:r>
    </w:p>
    <w:p>
      <w:pPr>
        <w:spacing w:after="60"/>
      </w:pPr>
      <w:r>
        <w:rPr>
          <w:b/>
          <w:bCs/>
        </w:rPr>
        <w:t xml:space="preserve">Actual Year 2 leverage result after correction: </w:t>
      </w:r>
      <w:r>
        <w:rPr>
          <w:b/>
          <w:bCs/>
          <w:color w:val="C00000"/>
        </w:rPr>
        <w:t xml:space="preserve">5.05× achieved vs 4.00× cap — BREACH (honestly disclosed)</w:t>
      </w:r>
    </w:p>
    <w:p>
      <w:pPr>
        <w:pStyle w:val="Heading1"/>
        <w:spacing w:after="160" w:before="360"/>
      </w:pPr>
      <w:r>
        <w:t xml:space="preserve">2. Critical Regulatory Correction — Year 2 Leverage Ceiling</w:t>
      </w:r>
    </w:p>
    <w:p>
      <w:pPr>
        <w:pStyle w:val="Heading2"/>
        <w:spacing w:after="120" w:before="280"/>
      </w:pPr>
      <w:r>
        <w:t xml:space="preserve">2.1 What was wrong</w:t>
      </w:r>
    </w:p>
    <w:p>
      <w:pPr>
        <w:spacing w:after="160"/>
      </w:pPr>
      <w:r>
        <w:t xml:space="preserve">Assumptions!B51:F51 (the annual borrowing-leverage ceiling used throughout the model) computed the cap with: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</w:rPr>
        <w:t xml:space="preserve">=IF(DATE(2028,12,31)&gt;=$B$19,9,4)   ← Year 2 (column C), original formula</w:t>
      </w:r>
    </w:p>
    <w:p>
      <w:pPr>
        <w:spacing w:after="160"/>
      </w:pPr>
      <w:r>
        <w:t xml:space="preserve">B19 is management's internally targeted final-license date, which falls inside Year 2. Because the formula compared calendar year-end against that target date rather than against the actual regulatory phase, it silently switched the entire Year 2 ceiling from 4× to 9×. The identical defect existed in the month-by-month version of this test (Monthly Model!row 34, all 60 columns), which drove the same false result down into the monthly leverage-covenant test in Funding &amp; Liquidity (rows 49–60) and the Compliance / Checks / جاهزية التقديم status cells.</w:t>
      </w:r>
    </w:p>
    <w:p>
      <w:pPr>
        <w:spacing w:after="160"/>
      </w:pPr>
      <w:r>
        <w:t xml:space="preserve">Under this defect, Year 2's actual achieved leverage (bank debt ÷ net equity = 5.05×) was compared against a 9× ceiling and therefore displayed “متوافق” (compliant) — a false pass. Under FRA Decision 268/2023, the applicable ceiling before the final license is actually and formally issued is 4× net equity, for the entire startup/provisional period — which necessarily includes all of Year 1 and Year 2. A target date is not an issued license.</w:t>
      </w:r>
    </w:p>
    <w:p>
      <w:pPr>
        <w:pStyle w:val="Heading2"/>
        <w:spacing w:after="120" w:before="280"/>
      </w:pPr>
      <w:r>
        <w:t xml:space="preserve">2.2 What was corrected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Assumptions!B51:F51 — replaced the date-comparison formula with fixed values: Year 1 = 4, Year 2 = 4, Year 3–Year 5 = 9 (Year 3+ remains an explicit base-case planning assumption that the final license has actually been obtained by then, consistent with management's licensing plan).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Monthly Model!row 34 (60 columns, B34:BI34) — replaced the same date-comparison with a Plan-Year test (=IF(&lt;col&gt;$4&lt;=2028,4,9)), so every month of Year 1–Year 2 uses 4× and only Year 3–Year 5 months use 9×.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 narrative/disclosure cells describing the old “4×-until-target-date-then-9×” logic were rewritten to state the corrected rule, in: Assumptions (A51, B113), Basel III (A45), Funding &amp; Liquidity (A47, A62, A64–A66), رد الملاحظات (C42), جاهزية التقديم (B19), and Regulatory Data Requirements (G5).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approved Year 1 / Year 2 commercial plan figures were touched — only the regulatory-limit assumption and its dependent regulatory-status cells.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pre-existing “Scenario – Slower Year 2” and “Scenario – Standby Capital” sheets already modeled mitigation against a 4× ceiling correctly (they were not affected by the bug) and remain available as the mitigation tools.</w:t>
      </w:r>
    </w:p>
    <w:p>
      <w:pPr>
        <w:pStyle w:val="Heading2"/>
        <w:spacing w:after="120" w:before="280"/>
      </w:pPr>
      <w:r>
        <w:t xml:space="preserve">2.3 Actual result after correction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700"/>
        <w:gridCol w:w="1300"/>
        <w:gridCol w:w="1400"/>
        <w:gridCol w:w="1900"/>
        <w:gridCol w:w="2100"/>
      </w:tblGrid>
      <w:tr>
        <w:tc>
          <w:tcPr>
            <w:tcW w:type="dxa" w:w="1400"/>
            <w:shd w:fill="2F2F2F" w:val="clear"/>
          </w:tcPr>
          <w:p>
            <w:r>
              <w:rPr>
                <w:b/>
                <w:bCs/>
                <w:color w:val="FFFFFF"/>
              </w:rPr>
              <w:t xml:space="preserve">Year</w:t>
            </w:r>
          </w:p>
        </w:tc>
        <w:tc>
          <w:tcPr>
            <w:tcW w:type="dxa" w:w="1700"/>
            <w:shd w:fill="2F2F2F" w:val="clear"/>
          </w:tcPr>
          <w:p>
            <w:r>
              <w:rPr>
                <w:b/>
                <w:bCs/>
                <w:color w:val="FFFFFF"/>
              </w:rPr>
              <w:t xml:space="preserve">Achieved leverage</w:t>
            </w:r>
          </w:p>
        </w:tc>
        <w:tc>
          <w:tcPr>
            <w:tcW w:type="dxa" w:w="1300"/>
            <w:shd w:fill="2F2F2F" w:val="clear"/>
          </w:tcPr>
          <w:p>
            <w:r>
              <w:rPr>
                <w:b/>
                <w:bCs/>
                <w:color w:val="FFFFFF"/>
              </w:rPr>
              <w:t xml:space="preserve">Applicable cap</w:t>
            </w:r>
          </w:p>
        </w:tc>
        <w:tc>
          <w:tcPr>
            <w:tcW w:type="dxa" w:w="1400"/>
            <w:shd w:fill="2F2F2F" w:val="clea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1900"/>
            <w:shd w:fill="2F2F2F" w:val="clear"/>
          </w:tcPr>
          <w:p>
            <w:r>
              <w:rPr>
                <w:b/>
                <w:bCs/>
                <w:color w:val="FFFFFF"/>
              </w:rPr>
              <w:t xml:space="preserve">Debt reduction required</w:t>
            </w:r>
          </w:p>
        </w:tc>
        <w:tc>
          <w:tcPr>
            <w:tcW w:type="dxa" w:w="2100"/>
            <w:shd w:fill="2F2F2F" w:val="clear"/>
          </w:tcPr>
          <w:p>
            <w:r>
              <w:rPr>
                <w:b/>
                <w:bCs/>
                <w:color w:val="FFFFFF"/>
              </w:rPr>
              <w:t xml:space="preserve">OR additional equity required</w:t>
            </w:r>
          </w:p>
        </w:tc>
      </w:tr>
      <w:tr>
        <w:tc>
          <w:tcPr>
            <w:tcW w:type="dxa" w:w="1400"/>
            <w:shd w:fill="FFFFFF" w:val="clear"/>
          </w:tcPr>
          <w:p>
            <w:r>
              <w:t xml:space="preserve">Year 1</w:t>
            </w:r>
          </w:p>
        </w:tc>
        <w:tc>
          <w:tcPr>
            <w:tcW w:type="dxa" w:w="1700"/>
            <w:shd w:fill="FFFFFF" w:val="clear"/>
          </w:tcPr>
          <w:p>
            <w:r>
              <w:t xml:space="preserve">0.00×</w:t>
            </w:r>
          </w:p>
        </w:tc>
        <w:tc>
          <w:tcPr>
            <w:tcW w:type="dxa" w:w="1300"/>
            <w:shd w:fill="FFFFFF" w:val="clear"/>
          </w:tcPr>
          <w:p>
            <w:r>
              <w:t xml:space="preserve">4×</w:t>
            </w:r>
          </w:p>
        </w:tc>
        <w:tc>
          <w:tcPr>
            <w:tcW w:type="dxa" w:w="1400"/>
            <w:shd w:fill="FFFFFF" w:val="clear"/>
          </w:tcPr>
          <w:p>
            <w:r>
              <w:t xml:space="preserve">Compliant</w:t>
            </w:r>
          </w:p>
        </w:tc>
        <w:tc>
          <w:tcPr>
            <w:tcW w:type="dxa" w:w="1900"/>
            <w:shd w:fill="FFFFFF" w:val="clear"/>
          </w:tcPr>
          <w:p>
            <w:r>
              <w:t xml:space="preserve">—</w:t>
            </w:r>
          </w:p>
        </w:tc>
        <w:tc>
          <w:tcPr>
            <w:tcW w:type="dxa" w:w="2100"/>
            <w:shd w:fill="FFFFFF" w:val="clear"/>
          </w:tcPr>
          <w:p>
            <w:r>
              <w:t xml:space="preserve">—</w:t>
            </w:r>
          </w:p>
        </w:tc>
      </w:tr>
      <w:tr>
        <w:tc>
          <w:tcPr>
            <w:tcW w:type="dxa" w:w="1400"/>
            <w:shd w:fill="F2F2F2" w:val="clear"/>
          </w:tcPr>
          <w:p>
            <w:r>
              <w:t xml:space="preserve">Year 2</w:t>
            </w:r>
          </w:p>
        </w:tc>
        <w:tc>
          <w:tcPr>
            <w:tcW w:type="dxa" w:w="1700"/>
            <w:shd w:fill="F2F2F2" w:val="clear"/>
          </w:tcPr>
          <w:p>
            <w:r>
              <w:t xml:space="preserve">5.05×</w:t>
            </w:r>
          </w:p>
        </w:tc>
        <w:tc>
          <w:tcPr>
            <w:tcW w:type="dxa" w:w="1300"/>
            <w:shd w:fill="F2F2F2" w:val="clear"/>
          </w:tcPr>
          <w:p>
            <w:r>
              <w:t xml:space="preserve">4×</w:t>
            </w:r>
          </w:p>
        </w:tc>
        <w:tc>
          <w:tcPr>
            <w:tcW w:type="dxa" w:w="1400"/>
            <w:shd w:fill="F2F2F2" w:val="clear"/>
          </w:tcPr>
          <w:p>
            <w:r>
              <w:t xml:space="preserve">BREACH</w:t>
            </w:r>
          </w:p>
        </w:tc>
        <w:tc>
          <w:tcPr>
            <w:tcW w:type="dxa" w:w="1900"/>
            <w:shd w:fill="F2F2F2" w:val="clear"/>
          </w:tcPr>
          <w:p>
            <w:r>
              <w:t xml:space="preserve">EGP 77,177,819</w:t>
            </w:r>
          </w:p>
        </w:tc>
        <w:tc>
          <w:tcPr>
            <w:tcW w:type="dxa" w:w="2100"/>
            <w:shd w:fill="F2F2F2" w:val="clear"/>
          </w:tcPr>
          <w:p>
            <w:r>
              <w:t xml:space="preserve">EGP 19,294,455</w:t>
            </w:r>
          </w:p>
        </w:tc>
      </w:tr>
      <w:tr>
        <w:tc>
          <w:tcPr>
            <w:tcW w:type="dxa" w:w="1400"/>
            <w:shd w:fill="FFFFFF" w:val="clear"/>
          </w:tcPr>
          <w:p>
            <w:r>
              <w:t xml:space="preserve">Year 3</w:t>
            </w:r>
          </w:p>
        </w:tc>
        <w:tc>
          <w:tcPr>
            <w:tcW w:type="dxa" w:w="1700"/>
            <w:shd w:fill="FFFFFF" w:val="clear"/>
          </w:tcPr>
          <w:p>
            <w:r>
              <w:t xml:space="preserve">4.57×</w:t>
            </w:r>
          </w:p>
        </w:tc>
        <w:tc>
          <w:tcPr>
            <w:tcW w:type="dxa" w:w="1300"/>
            <w:shd w:fill="FFFFFF" w:val="clear"/>
          </w:tcPr>
          <w:p>
            <w:r>
              <w:t xml:space="preserve">9×</w:t>
            </w:r>
          </w:p>
        </w:tc>
        <w:tc>
          <w:tcPr>
            <w:tcW w:type="dxa" w:w="1400"/>
            <w:shd w:fill="FFFFFF" w:val="clear"/>
          </w:tcPr>
          <w:p>
            <w:r>
              <w:t xml:space="preserve">Compliant</w:t>
            </w:r>
          </w:p>
        </w:tc>
        <w:tc>
          <w:tcPr>
            <w:tcW w:type="dxa" w:w="1900"/>
            <w:shd w:fill="FFFFFF" w:val="clear"/>
          </w:tcPr>
          <w:p>
            <w:r>
              <w:t xml:space="preserve">—</w:t>
            </w:r>
          </w:p>
        </w:tc>
        <w:tc>
          <w:tcPr>
            <w:tcW w:type="dxa" w:w="2100"/>
            <w:shd w:fill="FFFFFF" w:val="clear"/>
          </w:tcPr>
          <w:p>
            <w:r>
              <w:t xml:space="preserve">—</w:t>
            </w:r>
          </w:p>
        </w:tc>
      </w:tr>
      <w:tr>
        <w:tc>
          <w:tcPr>
            <w:tcW w:type="dxa" w:w="1400"/>
            <w:shd w:fill="F2F2F2" w:val="clear"/>
          </w:tcPr>
          <w:p>
            <w:r>
              <w:t xml:space="preserve">Year 4</w:t>
            </w:r>
          </w:p>
        </w:tc>
        <w:tc>
          <w:tcPr>
            <w:tcW w:type="dxa" w:w="1700"/>
            <w:shd w:fill="F2F2F2" w:val="clear"/>
          </w:tcPr>
          <w:p>
            <w:r>
              <w:t xml:space="preserve">4.31×</w:t>
            </w:r>
          </w:p>
        </w:tc>
        <w:tc>
          <w:tcPr>
            <w:tcW w:type="dxa" w:w="1300"/>
            <w:shd w:fill="F2F2F2" w:val="clear"/>
          </w:tcPr>
          <w:p>
            <w:r>
              <w:t xml:space="preserve">9×</w:t>
            </w:r>
          </w:p>
        </w:tc>
        <w:tc>
          <w:tcPr>
            <w:tcW w:type="dxa" w:w="1400"/>
            <w:shd w:fill="F2F2F2" w:val="clear"/>
          </w:tcPr>
          <w:p>
            <w:r>
              <w:t xml:space="preserve">Compliant</w:t>
            </w:r>
          </w:p>
        </w:tc>
        <w:tc>
          <w:tcPr>
            <w:tcW w:type="dxa" w:w="1900"/>
            <w:shd w:fill="F2F2F2" w:val="clear"/>
          </w:tcPr>
          <w:p>
            <w:r>
              <w:t xml:space="preserve">—</w:t>
            </w:r>
          </w:p>
        </w:tc>
        <w:tc>
          <w:tcPr>
            <w:tcW w:type="dxa" w:w="2100"/>
            <w:shd w:fill="F2F2F2" w:val="clear"/>
          </w:tcPr>
          <w:p>
            <w:r>
              <w:t xml:space="preserve">—</w:t>
            </w:r>
          </w:p>
        </w:tc>
      </w:tr>
      <w:tr>
        <w:tc>
          <w:tcPr>
            <w:tcW w:type="dxa" w:w="1400"/>
            <w:shd w:fill="FFFFFF" w:val="clear"/>
          </w:tcPr>
          <w:p>
            <w:r>
              <w:t xml:space="preserve">Year 5</w:t>
            </w:r>
          </w:p>
        </w:tc>
        <w:tc>
          <w:tcPr>
            <w:tcW w:type="dxa" w:w="1700"/>
            <w:shd w:fill="FFFFFF" w:val="clear"/>
          </w:tcPr>
          <w:p>
            <w:r>
              <w:t xml:space="preserve">4.34×</w:t>
            </w:r>
          </w:p>
        </w:tc>
        <w:tc>
          <w:tcPr>
            <w:tcW w:type="dxa" w:w="1300"/>
            <w:shd w:fill="FFFFFF" w:val="clear"/>
          </w:tcPr>
          <w:p>
            <w:r>
              <w:t xml:space="preserve">9×</w:t>
            </w:r>
          </w:p>
        </w:tc>
        <w:tc>
          <w:tcPr>
            <w:tcW w:type="dxa" w:w="1400"/>
            <w:shd w:fill="FFFFFF" w:val="clear"/>
          </w:tcPr>
          <w:p>
            <w:r>
              <w:t xml:space="preserve">Compliant</w:t>
            </w:r>
          </w:p>
        </w:tc>
        <w:tc>
          <w:tcPr>
            <w:tcW w:type="dxa" w:w="1900"/>
            <w:shd w:fill="FFFFFF" w:val="clear"/>
          </w:tcPr>
          <w:p>
            <w:r>
              <w:t xml:space="preserve">—</w:t>
            </w:r>
          </w:p>
        </w:tc>
        <w:tc>
          <w:tcPr>
            <w:tcW w:type="dxa" w:w="2100"/>
            <w:shd w:fill="FFFFFF" w:val="clear"/>
          </w:tcPr>
          <w:p>
            <w:r>
              <w:t xml:space="preserve">—</w:t>
            </w:r>
          </w:p>
        </w:tc>
      </w:tr>
    </w:tbl>
    <w:p>
      <w:pPr>
        <w:spacing w:after="160" w:before="160"/>
      </w:pPr>
    </w:p>
    <w:p>
      <w:pPr>
        <w:spacing w:after="160"/>
      </w:pPr>
      <w:r>
        <w:t xml:space="preserve">At the monthly level, the same correction moves months 23–24 of Year 2 (columns X, Y in Monthly Model) from a false “متوافق” to a real “فجوة” (gap), consistent with the annual result. Month 22 remains compliant at 3.99×.</w:t>
      </w:r>
    </w:p>
    <w:p>
      <w:pPr>
        <w:spacing w:after="160"/>
      </w:pPr>
      <w:r>
        <w:t xml:space="preserve">This breach is a genuine reflection of the approved Year 2 debt and equity plan measured against the correct regulatory ceiling. It has not been used to alter the approved Year 2 business figures, and the ceiling has not been relaxed to manufacture compliance. Two independent, pre-existing mitigation paths are quantified above and modeled in the Scenario sheets: reduce Year 2 bank debt by ~EGP 77.2m, or inject ~EGP 19.3m of additional qualifying equity.</w:t>
      </w:r>
    </w:p>
    <w:p>
      <w:pPr>
        <w:pStyle w:val="Heading1"/>
        <w:spacing w:after="160" w:before="360"/>
      </w:pPr>
      <w:r>
        <w:t xml:space="preserve">3. Year 1 / Year 2 Freeze Test</w:t>
      </w:r>
    </w:p>
    <w:p>
      <w:pPr>
        <w:spacing w:after="160"/>
      </w:pPr>
      <w:r>
        <w:t xml:space="preserve">Method: every cell in all 33 sheets was compared, formula-for-formula and value-for-value, between the original workbook and the corrected workbook. 354 cells differ in total; of those, 277 are pure diacritic-mark removals (no change in meaning or number) and the remaining 77 are exactly the leverage-cap fix and its dependent narrative labels listed in Section 2 — all regulatory-calculation cells, which are explicitly excluded from the freeze per the brief. No cell holding an approved Year 1 or Year 2 origination, portfolio, income-statement, balance-sheet, cash-flow, staffing, opex, capex, or capital figure was altered.</w:t>
      </w:r>
    </w:p>
    <w:p>
      <w:pPr>
        <w:spacing w:after="60"/>
      </w:pPr>
      <w:r>
        <w:rPr>
          <w:b/>
          <w:bCs/>
        </w:rPr>
        <w:t xml:space="preserve">Result: </w:t>
      </w:r>
      <w:r>
        <w:rPr>
          <w:b/>
          <w:bCs/>
          <w:color w:val="1E7B34"/>
        </w:rPr>
        <w:t xml:space="preserve">0 unauthorized Year 1 / Year 2 plan-figure changes</w:t>
      </w:r>
    </w:p>
    <w:p>
      <w:pPr>
        <w:pStyle w:val="Heading1"/>
        <w:spacing w:after="160" w:before="360"/>
      </w:pPr>
      <w:r>
        <w:t xml:space="preserve">4. Other Corrections Made</w:t>
      </w:r>
    </w:p>
    <w:p>
      <w:pPr>
        <w:pStyle w:val="Heading2"/>
        <w:spacing w:after="120" w:before="280"/>
      </w:pPr>
      <w:r>
        <w:t xml:space="preserve">4.1 Arabic diacritics removed</w:t>
      </w:r>
    </w:p>
    <w:p>
      <w:pPr>
        <w:spacing w:after="160"/>
      </w:pPr>
      <w:r>
        <w:t xml:space="preserve">277 cells across the workbook (label text and formula string-literals) had tashkeel (َ ً ُ ٌ ِ ٍ ّ ْ) stripped, per the house style for clean professional Arabic.</w:t>
      </w:r>
    </w:p>
    <w:p>
      <w:pPr>
        <w:pStyle w:val="Heading2"/>
        <w:spacing w:after="120" w:before="280"/>
      </w:pPr>
      <w:r>
        <w:t xml:space="preserve">4.2 Broken navigation links repaired</w:t>
      </w:r>
    </w:p>
    <w:p>
      <w:pPr>
        <w:spacing w:after="160"/>
      </w:pPr>
      <w:r>
        <w:t xml:space="preserve">13 hyperlinks in the Cover sheet and the جاهزية التقديم sheet were found pointing at a stray leftover filename (residue of a prior automated editing pass) instead of the intended worksheet, and had no internal anchor set — clicking them would not have navigated anywhere. All 13 were rebuilt as proper internal Excel hyperlinks. Every hyperlink in the workbook (47 native links plus 32 formula-based HYPERLINK() navigation buttons on the دليل الملف sheet — 79 in total) was then verified to resolve to a real, existing sheet.</w:t>
      </w:r>
    </w:p>
    <w:p>
      <w:pPr>
        <w:pStyle w:val="Heading2"/>
        <w:spacing w:after="120" w:before="280"/>
      </w:pPr>
      <w:r>
        <w:t xml:space="preserve">4.3 Process-residue artifact removed</w:t>
      </w:r>
    </w:p>
    <w:p>
      <w:pPr>
        <w:spacing w:after="160"/>
      </w:pPr>
      <w:r>
        <w:t xml:space="preserve">One stray cell (رد الملاحظات!D55) contained a leftover intermediate filename from a prior automated editing pass, outside the sheet's used content area. It has been cleared.</w:t>
      </w:r>
    </w:p>
    <w:p>
      <w:pPr>
        <w:pStyle w:val="Heading2"/>
        <w:spacing w:after="120" w:before="280"/>
      </w:pPr>
      <w:r>
        <w:t xml:space="preserve">4.4 AI / chat / audit-trail search</w:t>
      </w:r>
    </w:p>
    <w:p>
      <w:pPr>
        <w:spacing w:after="160"/>
      </w:pPr>
      <w:r>
        <w:t xml:space="preserve">A full-workbook keyword search for ChatGPT, Claude, AI, prompt, agent, audit bot, red team, and similar phrases (English and Arabic) returned zero matches. No internal diagnostic commentary or chat-derived language was found.</w:t>
      </w:r>
    </w:p>
    <w:p>
      <w:pPr>
        <w:pStyle w:val="Heading1"/>
        <w:spacing w:after="160" w:before="360"/>
      </w:pPr>
      <w:r>
        <w:t xml:space="preserve">5. What Was Already Sound (No Change Needed)</w:t>
      </w:r>
    </w:p>
    <w:p>
      <w:pPr>
        <w:spacing w:after="160"/>
      </w:pPr>
      <w:r>
        <w:t xml:space="preserve">This workbook was materially more disciplined than a typical first draft. The following were reviewed and found already correct, and were left untouched: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Capital adequacy stack: the 12% Pillar-1 minimum and the 2.5% capital conservation buffer are already kept as two distinct tests (Regulatory Capital Plan rows 32 and 53–58) — the model does not silently fold them into a single hard 14.5% minimum.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LCR: net outflows already use the 90% cap on eligible inflows (not 75%) — Funding &amp; Liquidity rows 19, 83 and Basel III row 63.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NSFR: built from an explicit maturity-bucket ladder with disclosed planning weights, not invented percentages.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Regulatory status cells (CAR, LCR, NSFR, single-obligor concentration): already labeled “استرشادي / بيانات معلقة” (indicative / pending data) rather than a false definitive PASS, wherever the underlying data is genuinely unavailable.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Three-statement reconciliation: Balance Sheet balances every year (residual &lt; 1.2e-7, floating-point noise only), Cash Flow closing cash ties exactly to the Balance Sheet, and the Checks sheet reproduces each relationship independently rather than referencing another PASS cell.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genuine two-scenario Year-2 mitigation comparison already existed in Funding &amp; Liquidity (rows 62–66) and in the dedicated Scenario – Slower Year 2 / Scenario – Standby Capital sheets, both of which already used a hard 4× test independent of the buggy assumption.</w:t>
      </w:r>
    </w:p>
    <w:p>
      <w:pPr>
        <w:pStyle w:val="Heading1"/>
        <w:spacing w:after="160" w:before="360"/>
      </w:pPr>
      <w:r>
        <w:t xml:space="preserve">6. Formula-Integrity Scan</w:t>
      </w:r>
    </w:p>
    <w:p>
      <w:pPr>
        <w:spacing w:after="60"/>
      </w:pPr>
      <w:r>
        <w:rPr>
          <w:b/>
          <w:bCs/>
        </w:rPr>
        <w:t xml:space="preserve">Formulas scanned for syntax validity (balanced parentheses/quotes): </w:t>
      </w:r>
      <w:r>
        <w:rPr>
          <w:b/>
          <w:bCs/>
          <w:color w:val="1E7B34"/>
        </w:rPr>
        <w:t xml:space="preserve">4,783 — 0 issues</w:t>
      </w:r>
    </w:p>
    <w:p>
      <w:pPr>
        <w:spacing w:after="60"/>
      </w:pPr>
      <w:r>
        <w:rPr>
          <w:b/>
          <w:bCs/>
        </w:rPr>
        <w:t xml:space="preserve">Cached Excel error tokens in the original file before any edit: </w:t>
      </w:r>
      <w:r>
        <w:rPr>
          <w:b/>
          <w:bCs/>
          <w:color w:val="1E7B34"/>
        </w:rPr>
        <w:t xml:space="preserve">0 (#REF!, #DIV/0!, #VALUE!, #NAME?, #NUM!, #N/A, #NULL!)</w:t>
      </w:r>
    </w:p>
    <w:p>
      <w:pPr>
        <w:spacing w:after="160"/>
      </w:pPr>
      <w:r>
        <w:t xml:space="preserve">A full automated recalculation pass (LibreOffice headless, the standard tool for this) could not be completed in this session: the LibreOffice installation in this sandboxed environment failed to load any document at all, including LibreOffice's own bundled sample file — confirming the fault is environmental, not specific to this workbook. A pure-Python formula-evaluation fallback (the ‘formulas’ package) was also attempted; it produced #VALUE! artifacts when run against the unmodified original file as well, confirming a library limitation with this workbook's structure rather than a defect introduced by these edits.</w:t>
      </w:r>
    </w:p>
    <w:p>
      <w:pPr>
        <w:spacing w:after="160"/>
      </w:pPr>
      <w:r>
        <w:t xml:space="preserve">In place of automated recalculation, every formula actually changed by this repair — the annual leverage-cap chain (Regulatory Capital Plan rows 13–16, 76–77) and all 60 monthly leverage-cap/ratio/status cells (Monthly Model rows 34–36) — was independently reproduced by direct calculation in Python from the underlying (unaffected, already-verified-correct) input cells. The results match exactly what is reported in Section 2.3 above, for every year and every affected month.</w:t>
      </w:r>
    </w:p>
    <w:p>
      <w:pPr>
        <w:spacing w:after="160"/>
      </w:pPr>
      <w:r>
        <w:t xml:space="preserve">Recommended before submission: open the workbook in Microsoft Excel, allow it to recalculate on open (or press Ctrl+Alt+F9), and confirm no error banner appears — this is the one verification step that could not be completed in this session.</w:t>
      </w:r>
    </w:p>
    <w:p>
      <w:pPr>
        <w:pStyle w:val="Heading1"/>
        <w:spacing w:after="160" w:before="360"/>
      </w:pPr>
      <w:r>
        <w:t xml:space="preserve">7. Regulatory Source Verification — Disclosed Limitation</w:t>
      </w:r>
    </w:p>
    <w:p>
      <w:pPr>
        <w:spacing w:after="160"/>
      </w:pPr>
      <w:r>
        <w:t xml:space="preserve">Outbound network access to the official FRA source documents cited in the brief (fra.gov.eg PDFs for Decisions 268/2023 and 137/2025) was blocked by this session's network policy. Secondary press coverage of Decision 137/2025 was reachable and is directionally consistent with what the workbook already documents (Basel III framework, phased application starting 1 January 2026, mandatory from 1 January 2027), but exact article-by-article citation against the primary legal text could not be independently re-verified this session.</w:t>
      </w:r>
    </w:p>
    <w:p>
      <w:pPr>
        <w:spacing w:after="160"/>
      </w:pPr>
      <w:r>
        <w:t xml:space="preserve">The Year 2 leverage-ceiling correction in Section 2 does not depend on this limitation — it corrects an internal date-logic defect against the rule the workbook's own existing disclosures (Assumptions!B113, Sources!S01) and this task's brief already state. The capital-stack, LCR-cap, and NSFR treatments in Section 5 were likewise judged against standard, well-established Basel III mechanics that Egypt's Decision 137/2025 is press-confirmed to follow, not against a freshly re-read primary text.</w:t>
      </w:r>
    </w:p>
    <w:p>
      <w:pPr>
        <w:spacing w:after="160"/>
      </w:pPr>
      <w:r>
        <w:rPr>
          <w:i/>
          <w:iCs/>
          <w:color w:val="595959"/>
        </w:rPr>
        <w:t xml:space="preserve">This is flagged as an open item for legal / compliance sign-off before the workbook is submitted to the FRA, exactly as the workbook's own “Regulatory Data Requirements” sheet already requires for pending external confirmations.</w:t>
      </w:r>
    </w:p>
    <w:p>
      <w:pPr>
        <w:pStyle w:val="Heading1"/>
        <w:spacing w:after="160" w:before="360"/>
      </w:pPr>
      <w:r>
        <w:t xml:space="preserve">8. Recommended Next Steps Before Submission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how to close the Year 2 leverage gap: reduce Year 2 bank debt by ~EGP 77.2m, inject ~EGP 19.3m of additional equity, or submit with the honest gap disclosed and a committed remediation timeline — using the existing Scenario – Slower Year 2 / Scenario – Standby Capital sheets.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the final workbook in Excel and confirm a clean recalculation with zero error cells (this session could not run that check due to a broken LibreOffice install; see Section 6).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Complete the 15 outstanding items tracked in the Regulatory Data Requirements sheet (actual license issuance, bank facility contracts, fixed-asset register, customer concentration register, etc.) before treating any regulatory ratio as final.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Obtain the written legal opinion on the venture-capital primary-funding condition (Decision 268/2023, Article 3(9)) already flagged in Regulatory Data Requirements item 13 — unresolved and material given Year 2's reliance on bank funding.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Re-verify the exact capital-stack and LCR/NSFR article citations against the primary FRA PDF text once network access is available, per Section 7.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2026-09-02T13:25:53.447Z</dcterms:created>
  <dcterms:modified xsi:type="dcterms:W3CDTF">2026-09-02T13:25:53.447Z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