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Flexy — FRA Financial Model</w:t>
      </w:r>
    </w:p>
    <w:p>
      <w:pPr>
        <w:spacing w:after="40"/>
      </w:pPr>
      <w:r>
        <w:rPr>
          <w:color w:val="595959"/>
          <w:sz w:val="30"/>
          <w:szCs w:val="30"/>
        </w:rPr>
        <w:t xml:space="preserve">Forensic Repair — Reviewer Report</w:t>
      </w:r>
    </w:p>
    <w:p>
      <w:pPr>
        <w:spacing w:after="400"/>
      </w:pPr>
      <w:r>
        <w:rPr>
          <w:i/>
          <w:iCs/>
          <w:color w:val="595959"/>
          <w:sz w:val="20"/>
          <w:szCs w:val="20"/>
        </w:rPr>
        <w:t xml:space="preserve">Prepared for internal / FRA submission readiness review — not for inclusion in the submitted workbook</w:t>
      </w:r>
    </w:p>
    <w:p>
      <w:pPr>
        <w:pStyle w:val="Heading1"/>
        <w:spacing w:after="160" w:before="360"/>
      </w:pPr>
      <w:r>
        <w:t xml:space="preserve">1. Summary</w:t>
      </w:r>
    </w:p>
    <w:p>
      <w:pPr>
        <w:spacing w:after="160"/>
      </w:pPr>
      <w:r>
        <w:t xml:space="preserve">The workbook “Flexy_FRA_Financial_Model_Year1_Year5_FINAL.xlsx” was audited and repaired, then put through a genuine full-workbook recalculation in LibreOffice Calc (after repairing a broken LibreOffice installation in the working environment — see Section 7). Two classes of defect were found and corrected: (1) the Year 2 borrowing-leverage ceiling incorrectly switching from 4× to 9× partway through Year 2, and (2) twelve cells across three sheets containing a syntactically broken, empty formula (literally “=” with no operand), which a real recalculation turns into #N/A and cascades into 1,310 error cells workbook-wide. Both are now fixed and the workbook recalculates to exactly zero errors. The approved Year 1 and Year 2 business-plan figures were confirmed unchanged against a proper, error-free recalculated baseline (zero-variance freeze test, using real computed values, not formula comparison).</w:t>
      </w:r>
    </w:p>
    <w:p>
      <w:pPr>
        <w:spacing w:after="60"/>
      </w:pPr>
      <w:r>
        <w:rPr>
          <w:b/>
          <w:bCs/>
        </w:rPr>
        <w:t xml:space="preserve">Workbook audited: </w:t>
      </w:r>
      <w:r>
        <w:rPr>
          <w:b w:val="false"/>
          <w:bCs w:val="false"/>
        </w:rPr>
        <w:t xml:space="preserve">33 sheets, 4,776 formulas after fixes</w:t>
      </w:r>
    </w:p>
    <w:p>
      <w:pPr>
        <w:spacing w:after="60"/>
      </w:pPr>
      <w:r>
        <w:rPr>
          <w:b/>
          <w:bCs/>
        </w:rPr>
        <w:t xml:space="preserve">Critical finding #1: </w:t>
      </w:r>
      <w:r>
        <w:rPr>
          <w:b/>
          <w:bCs/>
          <w:color w:val="1E7B34"/>
        </w:rPr>
        <w:t xml:space="preserve">Year 2 leverage cap defect — CORRECTED</w:t>
      </w:r>
    </w:p>
    <w:p>
      <w:pPr>
        <w:spacing w:after="60"/>
      </w:pPr>
      <w:r>
        <w:rPr>
          <w:b/>
          <w:bCs/>
        </w:rPr>
        <w:t xml:space="preserve">Critical finding #2: </w:t>
      </w:r>
      <w:r>
        <w:rPr>
          <w:b/>
          <w:bCs/>
          <w:color w:val="1E7B34"/>
        </w:rPr>
        <w:t xml:space="preserve">12 broken empty '=' formula cells (1,310 cascading #N/A errors) — CORRECTED</w:t>
      </w:r>
    </w:p>
    <w:p>
      <w:pPr>
        <w:spacing w:after="60"/>
      </w:pPr>
      <w:r>
        <w:rPr>
          <w:b/>
          <w:bCs/>
        </w:rPr>
        <w:t xml:space="preserve">Full-workbook LibreOffice recalculation: </w:t>
      </w:r>
      <w:r>
        <w:rPr>
          <w:b/>
          <w:bCs/>
          <w:color w:val="1E7B34"/>
        </w:rPr>
        <w:t xml:space="preserve">0 errors (#REF!/#DIV0!/#VALUE!/#NAME?/#NUM!/#N/A/#NULL!)</w:t>
      </w:r>
    </w:p>
    <w:p>
      <w:pPr>
        <w:spacing w:after="60"/>
      </w:pPr>
      <w:r>
        <w:rPr>
          <w:b/>
          <w:bCs/>
        </w:rPr>
        <w:t xml:space="preserve">Year 1 / Year 2 approved plan figures: </w:t>
      </w:r>
      <w:r>
        <w:rPr>
          <w:b/>
          <w:bCs/>
          <w:color w:val="1E7B34"/>
        </w:rPr>
        <w:t xml:space="preserve">0 unauthorized changes (freeze test on real recalculated values)</w:t>
      </w:r>
    </w:p>
    <w:p>
      <w:pPr>
        <w:spacing w:after="60"/>
      </w:pPr>
      <w:r>
        <w:rPr>
          <w:b/>
          <w:bCs/>
        </w:rPr>
        <w:t xml:space="preserve">All internal hyperlinks (79 total): </w:t>
      </w:r>
      <w:r>
        <w:rPr>
          <w:b/>
          <w:bCs/>
          <w:color w:val="1E7B34"/>
        </w:rPr>
        <w:t xml:space="preserve">verified intact after recalculation</w:t>
      </w:r>
    </w:p>
    <w:p>
      <w:pPr>
        <w:spacing w:after="60"/>
      </w:pPr>
      <w:r>
        <w:rPr>
          <w:b/>
          <w:bCs/>
        </w:rPr>
        <w:t xml:space="preserve">Actual Year 2 leverage result after correction: </w:t>
      </w:r>
      <w:r>
        <w:rPr>
          <w:b/>
          <w:bCs/>
          <w:color w:val="C00000"/>
        </w:rPr>
        <w:t xml:space="preserve">5.05× achieved vs 4.00× cap — BREACH (honestly disclosed)</w:t>
      </w:r>
    </w:p>
    <w:p>
      <w:pPr>
        <w:pStyle w:val="Heading1"/>
        <w:spacing w:after="160" w:before="360"/>
      </w:pPr>
      <w:r>
        <w:t xml:space="preserve">2. Critical Regulatory Correction — Year 2 Leverage Ceiling</w:t>
      </w:r>
    </w:p>
    <w:p>
      <w:pPr>
        <w:pStyle w:val="Heading2"/>
        <w:spacing w:after="120" w:before="280"/>
      </w:pPr>
      <w:r>
        <w:t xml:space="preserve">2.1 What was wrong</w:t>
      </w:r>
    </w:p>
    <w:p>
      <w:pPr>
        <w:spacing w:after="160"/>
      </w:pPr>
      <w:r>
        <w:t xml:space="preserve">Assumptions!B51:F51 (the annual borrowing-leverage ceiling used throughout the model) computed the cap with:</w:t>
      </w:r>
    </w:p>
    <w:p>
      <w:pPr>
        <w:spacing w:after="160"/>
      </w:pPr>
      <w:r>
        <w:rPr>
          <w:rFonts w:ascii="Consolas" w:cs="Consolas" w:eastAsia="Consolas" w:hAnsi="Consolas"/>
          <w:sz w:val="20"/>
          <w:szCs w:val="20"/>
        </w:rPr>
        <w:t xml:space="preserve">=IF(DATE(2028,12,31)&gt;=$B$19,9,4)   ← Year 2 (column C), original formula</w:t>
      </w:r>
    </w:p>
    <w:p>
      <w:pPr>
        <w:spacing w:after="160"/>
      </w:pPr>
      <w:r>
        <w:t xml:space="preserve">B19 is management's internally targeted final-license date, which falls inside Year 2. Because the formula compared calendar year-end against that target date rather than against the actual regulatory phase, it silently switched the entire Year 2 ceiling from 4× to 9×. The identical defect existed in the month-by-month version of this test (Monthly Model!row 34, all 60 columns), which drove the same false result down into the monthly leverage-covenant test in Funding &amp; Liquidity (rows 49–60) and the Compliance / Checks / جاهزية التقديم status cells.</w:t>
      </w:r>
    </w:p>
    <w:p>
      <w:pPr>
        <w:spacing w:after="160"/>
      </w:pPr>
      <w:r>
        <w:t xml:space="preserve">Under this defect, Year 2's actual achieved leverage (bank debt ÷ net equity = 5.05×) was compared against a 9× ceiling and therefore displayed “متوافق” (compliant) — a false pass. Under FRA Decision 268/2023, the applicable ceiling before the final license is actually and formally issued is 4× net equity, for the entire startup/provisional period — which necessarily includes all of Year 1 and Year 2. A target date is not an issued license.</w:t>
      </w:r>
    </w:p>
    <w:p>
      <w:pPr>
        <w:pStyle w:val="Heading2"/>
        <w:spacing w:after="120" w:before="280"/>
      </w:pPr>
      <w:r>
        <w:t xml:space="preserve">2.2 What was corrected</w:t>
      </w:r>
    </w:p>
    <w:p>
      <w:pPr>
        <w:pStyle w:val="ListParagraph"/>
        <w:numPr>
          <w:ilvl w:val="0"/>
          <w:numId w:val="1"/>
        </w:numPr>
        <w:spacing w:after="80"/>
      </w:pPr>
      <w:r>
        <w:t xml:space="preserve">Assumptions!B51:F51 — replaced the date-comparison formula with fixed values: Year 1 = 4, Year 2 = 4, Year 3–Year 5 = 9 (Year 3+ remains an explicit base-case planning assumption that the final license has actually been obtained by then, consistent with management's licensing plan).</w:t>
      </w:r>
    </w:p>
    <w:p>
      <w:pPr>
        <w:pStyle w:val="ListParagraph"/>
        <w:numPr>
          <w:ilvl w:val="0"/>
          <w:numId w:val="1"/>
        </w:numPr>
        <w:spacing w:after="80"/>
      </w:pPr>
      <w:r>
        <w:t xml:space="preserve">Monthly Model!row 34 (60 columns, B34:BI34) — replaced the same date-comparison with a Plan-Year test (=IF(&lt;col&gt;$4&lt;=2028,4,9)), so every month of Year 1–Year 2 uses 4× and only Year 3–Year 5 months use 9×.</w:t>
      </w:r>
    </w:p>
    <w:p>
      <w:pPr>
        <w:pStyle w:val="ListParagraph"/>
        <w:numPr>
          <w:ilvl w:val="0"/>
          <w:numId w:val="1"/>
        </w:numPr>
        <w:spacing w:after="80"/>
      </w:pPr>
      <w:r>
        <w:t xml:space="preserve">All narrative/disclosure cells describing the old “4×-until-target-date-then-9×” logic were rewritten to state the corrected rule, in: Assumptions (A51, B113), Basel III (A45), Funding &amp; Liquidity (A47, A62, A64–A66), رد الملاحظات (C42), جاهزية التقديم (B19), and Regulatory Data Requirements (G5).</w:t>
      </w:r>
    </w:p>
    <w:p>
      <w:pPr>
        <w:pStyle w:val="ListParagraph"/>
        <w:numPr>
          <w:ilvl w:val="0"/>
          <w:numId w:val="1"/>
        </w:numPr>
        <w:spacing w:after="80"/>
      </w:pPr>
      <w:r>
        <w:t xml:space="preserve">No approved Year 1 / Year 2 commercial plan figures were touched — only the regulatory-limit assumption and its dependent regulatory-status cells.</w:t>
      </w:r>
    </w:p>
    <w:p>
      <w:pPr>
        <w:pStyle w:val="ListParagraph"/>
        <w:numPr>
          <w:ilvl w:val="0"/>
          <w:numId w:val="1"/>
        </w:numPr>
        <w:spacing w:after="80"/>
      </w:pPr>
      <w:r>
        <w:t xml:space="preserve">The pre-existing “Scenario – Slower Year 2” and “Scenario – Standby Capital” sheets already modeled mitigation against a 4× ceiling correctly (they were not affected by the bug) and remain available as the mitigation tools.</w:t>
      </w:r>
    </w:p>
    <w:p>
      <w:pPr>
        <w:pStyle w:val="Heading2"/>
        <w:spacing w:after="120" w:before="280"/>
      </w:pPr>
      <w:r>
        <w:t xml:space="preserve">2.3 Actual result after correction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300"/>
        <w:gridCol w:w="1400"/>
        <w:gridCol w:w="1900"/>
        <w:gridCol w:w="2100"/>
      </w:tblGrid>
      <w:tr>
        <w:tc>
          <w:tcPr>
            <w:tcW w:type="dxa" w:w="1400"/>
            <w:shd w:fill="2F2F2F" w:val="clear"/>
          </w:tcPr>
          <w:p>
            <w:r>
              <w:rPr>
                <w:b/>
                <w:bCs/>
                <w:color w:val="FFFFFF"/>
              </w:rPr>
              <w:t xml:space="preserve">Year</w:t>
            </w:r>
          </w:p>
        </w:tc>
        <w:tc>
          <w:tcPr>
            <w:tcW w:type="dxa" w:w="1700"/>
            <w:shd w:fill="2F2F2F" w:val="clear"/>
          </w:tcPr>
          <w:p>
            <w:r>
              <w:rPr>
                <w:b/>
                <w:bCs/>
                <w:color w:val="FFFFFF"/>
              </w:rPr>
              <w:t xml:space="preserve">Achieved leverage</w:t>
            </w:r>
          </w:p>
        </w:tc>
        <w:tc>
          <w:tcPr>
            <w:tcW w:type="dxa" w:w="1300"/>
            <w:shd w:fill="2F2F2F" w:val="clear"/>
          </w:tcPr>
          <w:p>
            <w:r>
              <w:rPr>
                <w:b/>
                <w:bCs/>
                <w:color w:val="FFFFFF"/>
              </w:rPr>
              <w:t xml:space="preserve">Applicable cap</w:t>
            </w:r>
          </w:p>
        </w:tc>
        <w:tc>
          <w:tcPr>
            <w:tcW w:type="dxa" w:w="1400"/>
            <w:shd w:fill="2F2F2F" w:val="clear"/>
          </w:tcPr>
          <w:p>
            <w:r>
              <w:rPr>
                <w:b/>
                <w:bCs/>
                <w:color w:val="FFFFFF"/>
              </w:rPr>
              <w:t xml:space="preserve">Status</w:t>
            </w:r>
          </w:p>
        </w:tc>
        <w:tc>
          <w:tcPr>
            <w:tcW w:type="dxa" w:w="1900"/>
            <w:shd w:fill="2F2F2F" w:val="clear"/>
          </w:tcPr>
          <w:p>
            <w:r>
              <w:rPr>
                <w:b/>
                <w:bCs/>
                <w:color w:val="FFFFFF"/>
              </w:rPr>
              <w:t xml:space="preserve">Debt reduction required</w:t>
            </w:r>
          </w:p>
        </w:tc>
        <w:tc>
          <w:tcPr>
            <w:tcW w:type="dxa" w:w="2100"/>
            <w:shd w:fill="2F2F2F" w:val="clear"/>
          </w:tcPr>
          <w:p>
            <w:r>
              <w:rPr>
                <w:b/>
                <w:bCs/>
                <w:color w:val="FFFFFF"/>
              </w:rPr>
              <w:t xml:space="preserve">OR additional equity required</w:t>
            </w:r>
          </w:p>
        </w:tc>
      </w:tr>
      <w:tr>
        <w:tc>
          <w:tcPr>
            <w:tcW w:type="dxa" w:w="1400"/>
            <w:shd w:fill="FFFFFF" w:val="clear"/>
          </w:tcPr>
          <w:p>
            <w:r>
              <w:t xml:space="preserve">Year 1</w:t>
            </w:r>
          </w:p>
        </w:tc>
        <w:tc>
          <w:tcPr>
            <w:tcW w:type="dxa" w:w="1700"/>
            <w:shd w:fill="FFFFFF" w:val="clear"/>
          </w:tcPr>
          <w:p>
            <w:r>
              <w:t xml:space="preserve">0.00×</w:t>
            </w:r>
          </w:p>
        </w:tc>
        <w:tc>
          <w:tcPr>
            <w:tcW w:type="dxa" w:w="1300"/>
            <w:shd w:fill="FFFFFF" w:val="clear"/>
          </w:tcPr>
          <w:p>
            <w:r>
              <w:t xml:space="preserve">4×</w:t>
            </w:r>
          </w:p>
        </w:tc>
        <w:tc>
          <w:tcPr>
            <w:tcW w:type="dxa" w:w="1400"/>
            <w:shd w:fill="FFFFFF" w:val="clear"/>
          </w:tcPr>
          <w:p>
            <w:r>
              <w:t xml:space="preserve">Compliant</w:t>
            </w:r>
          </w:p>
        </w:tc>
        <w:tc>
          <w:tcPr>
            <w:tcW w:type="dxa" w:w="1900"/>
            <w:shd w:fill="FFFFFF" w:val="clear"/>
          </w:tcPr>
          <w:p>
            <w:r>
              <w:t xml:space="preserve">—</w:t>
            </w:r>
          </w:p>
        </w:tc>
        <w:tc>
          <w:tcPr>
            <w:tcW w:type="dxa" w:w="2100"/>
            <w:shd w:fill="FFFFFF" w:val="clear"/>
          </w:tcPr>
          <w:p>
            <w:r>
              <w:t xml:space="preserve">—</w:t>
            </w:r>
          </w:p>
        </w:tc>
      </w:tr>
      <w:tr>
        <w:tc>
          <w:tcPr>
            <w:tcW w:type="dxa" w:w="1400"/>
            <w:shd w:fill="F2F2F2" w:val="clear"/>
          </w:tcPr>
          <w:p>
            <w:r>
              <w:t xml:space="preserve">Year 2</w:t>
            </w:r>
          </w:p>
        </w:tc>
        <w:tc>
          <w:tcPr>
            <w:tcW w:type="dxa" w:w="1700"/>
            <w:shd w:fill="F2F2F2" w:val="clear"/>
          </w:tcPr>
          <w:p>
            <w:r>
              <w:t xml:space="preserve">5.05×</w:t>
            </w:r>
          </w:p>
        </w:tc>
        <w:tc>
          <w:tcPr>
            <w:tcW w:type="dxa" w:w="1300"/>
            <w:shd w:fill="F2F2F2" w:val="clear"/>
          </w:tcPr>
          <w:p>
            <w:r>
              <w:t xml:space="preserve">4×</w:t>
            </w:r>
          </w:p>
        </w:tc>
        <w:tc>
          <w:tcPr>
            <w:tcW w:type="dxa" w:w="1400"/>
            <w:shd w:fill="F2F2F2" w:val="clear"/>
          </w:tcPr>
          <w:p>
            <w:r>
              <w:t xml:space="preserve">BREACH</w:t>
            </w:r>
          </w:p>
        </w:tc>
        <w:tc>
          <w:tcPr>
            <w:tcW w:type="dxa" w:w="1900"/>
            <w:shd w:fill="F2F2F2" w:val="clear"/>
          </w:tcPr>
          <w:p>
            <w:r>
              <w:t xml:space="preserve">EGP 77,177,819</w:t>
            </w:r>
          </w:p>
        </w:tc>
        <w:tc>
          <w:tcPr>
            <w:tcW w:type="dxa" w:w="2100"/>
            <w:shd w:fill="F2F2F2" w:val="clear"/>
          </w:tcPr>
          <w:p>
            <w:r>
              <w:t xml:space="preserve">EGP 19,294,455</w:t>
            </w:r>
          </w:p>
        </w:tc>
      </w:tr>
      <w:tr>
        <w:tc>
          <w:tcPr>
            <w:tcW w:type="dxa" w:w="1400"/>
            <w:shd w:fill="FFFFFF" w:val="clear"/>
          </w:tcPr>
          <w:p>
            <w:r>
              <w:t xml:space="preserve">Year 3</w:t>
            </w:r>
          </w:p>
        </w:tc>
        <w:tc>
          <w:tcPr>
            <w:tcW w:type="dxa" w:w="1700"/>
            <w:shd w:fill="FFFFFF" w:val="clear"/>
          </w:tcPr>
          <w:p>
            <w:r>
              <w:t xml:space="preserve">4.57×</w:t>
            </w:r>
          </w:p>
        </w:tc>
        <w:tc>
          <w:tcPr>
            <w:tcW w:type="dxa" w:w="1300"/>
            <w:shd w:fill="FFFFFF" w:val="clear"/>
          </w:tcPr>
          <w:p>
            <w:r>
              <w:t xml:space="preserve">9×</w:t>
            </w:r>
          </w:p>
        </w:tc>
        <w:tc>
          <w:tcPr>
            <w:tcW w:type="dxa" w:w="1400"/>
            <w:shd w:fill="FFFFFF" w:val="clear"/>
          </w:tcPr>
          <w:p>
            <w:r>
              <w:t xml:space="preserve">Compliant</w:t>
            </w:r>
          </w:p>
        </w:tc>
        <w:tc>
          <w:tcPr>
            <w:tcW w:type="dxa" w:w="1900"/>
            <w:shd w:fill="FFFFFF" w:val="clear"/>
          </w:tcPr>
          <w:p>
            <w:r>
              <w:t xml:space="preserve">—</w:t>
            </w:r>
          </w:p>
        </w:tc>
        <w:tc>
          <w:tcPr>
            <w:tcW w:type="dxa" w:w="2100"/>
            <w:shd w:fill="FFFFFF" w:val="clear"/>
          </w:tcPr>
          <w:p>
            <w:r>
              <w:t xml:space="preserve">—</w:t>
            </w:r>
          </w:p>
        </w:tc>
      </w:tr>
      <w:tr>
        <w:tc>
          <w:tcPr>
            <w:tcW w:type="dxa" w:w="1400"/>
            <w:shd w:fill="F2F2F2" w:val="clear"/>
          </w:tcPr>
          <w:p>
            <w:r>
              <w:t xml:space="preserve">Year 4</w:t>
            </w:r>
          </w:p>
        </w:tc>
        <w:tc>
          <w:tcPr>
            <w:tcW w:type="dxa" w:w="1700"/>
            <w:shd w:fill="F2F2F2" w:val="clear"/>
          </w:tcPr>
          <w:p>
            <w:r>
              <w:t xml:space="preserve">4.31×</w:t>
            </w:r>
          </w:p>
        </w:tc>
        <w:tc>
          <w:tcPr>
            <w:tcW w:type="dxa" w:w="1300"/>
            <w:shd w:fill="F2F2F2" w:val="clear"/>
          </w:tcPr>
          <w:p>
            <w:r>
              <w:t xml:space="preserve">9×</w:t>
            </w:r>
          </w:p>
        </w:tc>
        <w:tc>
          <w:tcPr>
            <w:tcW w:type="dxa" w:w="1400"/>
            <w:shd w:fill="F2F2F2" w:val="clear"/>
          </w:tcPr>
          <w:p>
            <w:r>
              <w:t xml:space="preserve">Compliant</w:t>
            </w:r>
          </w:p>
        </w:tc>
        <w:tc>
          <w:tcPr>
            <w:tcW w:type="dxa" w:w="1900"/>
            <w:shd w:fill="F2F2F2" w:val="clear"/>
          </w:tcPr>
          <w:p>
            <w:r>
              <w:t xml:space="preserve">—</w:t>
            </w:r>
          </w:p>
        </w:tc>
        <w:tc>
          <w:tcPr>
            <w:tcW w:type="dxa" w:w="2100"/>
            <w:shd w:fill="F2F2F2" w:val="clear"/>
          </w:tcPr>
          <w:p>
            <w:r>
              <w:t xml:space="preserve">—</w:t>
            </w:r>
          </w:p>
        </w:tc>
      </w:tr>
      <w:tr>
        <w:tc>
          <w:tcPr>
            <w:tcW w:type="dxa" w:w="1400"/>
            <w:shd w:fill="FFFFFF" w:val="clear"/>
          </w:tcPr>
          <w:p>
            <w:r>
              <w:t xml:space="preserve">Year 5</w:t>
            </w:r>
          </w:p>
        </w:tc>
        <w:tc>
          <w:tcPr>
            <w:tcW w:type="dxa" w:w="1700"/>
            <w:shd w:fill="FFFFFF" w:val="clear"/>
          </w:tcPr>
          <w:p>
            <w:r>
              <w:t xml:space="preserve">4.34×</w:t>
            </w:r>
          </w:p>
        </w:tc>
        <w:tc>
          <w:tcPr>
            <w:tcW w:type="dxa" w:w="1300"/>
            <w:shd w:fill="FFFFFF" w:val="clear"/>
          </w:tcPr>
          <w:p>
            <w:r>
              <w:t xml:space="preserve">9×</w:t>
            </w:r>
          </w:p>
        </w:tc>
        <w:tc>
          <w:tcPr>
            <w:tcW w:type="dxa" w:w="1400"/>
            <w:shd w:fill="FFFFFF" w:val="clear"/>
          </w:tcPr>
          <w:p>
            <w:r>
              <w:t xml:space="preserve">Compliant</w:t>
            </w:r>
          </w:p>
        </w:tc>
        <w:tc>
          <w:tcPr>
            <w:tcW w:type="dxa" w:w="1900"/>
            <w:shd w:fill="FFFFFF" w:val="clear"/>
          </w:tcPr>
          <w:p>
            <w:r>
              <w:t xml:space="preserve">—</w:t>
            </w:r>
          </w:p>
        </w:tc>
        <w:tc>
          <w:tcPr>
            <w:tcW w:type="dxa" w:w="2100"/>
            <w:shd w:fill="FFFFFF" w:val="clear"/>
          </w:tcPr>
          <w:p>
            <w:r>
              <w:t xml:space="preserve">—</w:t>
            </w:r>
          </w:p>
        </w:tc>
      </w:tr>
    </w:tbl>
    <w:p>
      <w:pPr>
        <w:spacing w:after="160" w:before="160"/>
      </w:pPr>
    </w:p>
    <w:p>
      <w:pPr>
        <w:spacing w:after="160"/>
      </w:pPr>
      <w:r>
        <w:t xml:space="preserve">At the monthly level, the same correction moves months 23–24 of Year 2 (columns X, Y in Monthly Model) from a false “متوافق” to a real “فجوة” (gap), consistent with the annual result. Month 22 remains compliant at 3.99×.</w:t>
      </w:r>
    </w:p>
    <w:p>
      <w:pPr>
        <w:spacing w:after="160"/>
      </w:pPr>
      <w:r>
        <w:t xml:space="preserve">This breach is a genuine reflection of the approved Year 2 debt and equity plan measured against the correct regulatory ceiling. It has not been used to alter the approved Year 2 business figures, and the ceiling has not been relaxed to manufacture compliance. Two independent, pre-existing mitigation paths are quantified above and modeled in the Scenario sheets: reduce Year 2 bank debt by ~EGP 77.2m, or inject ~EGP 19.3m of additional qualifying equity.</w:t>
      </w:r>
    </w:p>
    <w:p>
      <w:pPr>
        <w:pStyle w:val="Heading1"/>
        <w:spacing w:after="160" w:before="360"/>
      </w:pPr>
      <w:r>
        <w:t xml:space="preserve">3. Twelve Broken Formulas (1,310 Cascading Errors) — Found and Fixed</w:t>
      </w:r>
    </w:p>
    <w:p>
      <w:pPr>
        <w:spacing w:after="160"/>
      </w:pPr>
      <w:r>
        <w:t xml:space="preserve">A genuine full-workbook recalculation (see Section 7) surfaced 1,310 #N/A error cells. All of them traced back to the same root cause, present identically in the original, unedited file: twelve cells across three sheets contained a syntactically empty formula — literally the character “=” with nothing after it. openpyxl (and any tool that never actually recalculates) silently reads these as whatever value happened to be cached from the last time someone calculated the file in real Excel, masking the defect completely until a real recalculation is attempted.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c>
          <w:tcPr>
            <w:tcW w:type="dxa" w:w="2400"/>
            <w:shd w:fill="2F2F2F" w:val="clear"/>
          </w:tcPr>
          <w:p>
            <w:r>
              <w:rPr>
                <w:b/>
                <w:bCs/>
                <w:color w:val="FFFFFF"/>
              </w:rPr>
              <w:t xml:space="preserve">Cells</w:t>
            </w:r>
          </w:p>
        </w:tc>
        <w:tc>
          <w:tcPr>
            <w:tcW w:type="dxa" w:w="3600"/>
            <w:shd w:fill="2F2F2F" w:val="clear"/>
          </w:tcPr>
          <w:p>
            <w:r>
              <w:rPr>
                <w:b/>
                <w:bCs/>
                <w:color w:val="FFFFFF"/>
              </w:rPr>
              <w:t xml:space="preserve">What they represent</w:t>
            </w:r>
          </w:p>
        </w:tc>
        <w:tc>
          <w:tcPr>
            <w:tcW w:type="dxa" w:w="3000"/>
            <w:shd w:fill="2F2F2F" w:val="clear"/>
          </w:tcPr>
          <w:p>
            <w:r>
              <w:rPr>
                <w:b/>
                <w:bCs/>
                <w:color w:val="FFFFFF"/>
              </w:rPr>
              <w:t xml:space="preserve">Fix applied</w:t>
            </w:r>
          </w:p>
        </w:tc>
      </w:tr>
      <w:tr>
        <w:tc>
          <w:tcPr>
            <w:tcW w:type="dxa" w:w="2400"/>
            <w:shd w:fill="FFFFFF" w:val="clear"/>
          </w:tcPr>
          <w:p>
            <w:r>
              <w:t xml:space="preserve">Cohort Interest!B8, C8</w:t>
            </w:r>
          </w:p>
        </w:tc>
        <w:tc>
          <w:tcPr>
            <w:tcW w:type="dxa" w:w="3600"/>
            <w:shd w:fill="FFFFFF" w:val="clear"/>
          </w:tcPr>
          <w:p>
            <w:r>
              <w:t xml:space="preserve">Year 1 / Year 2 approved lease income (feeds Income Statement, Balance Sheet, Cash Flow for both years)</w:t>
            </w:r>
          </w:p>
        </w:tc>
        <w:tc>
          <w:tcPr>
            <w:tcW w:type="dxa" w:w="3000"/>
            <w:shd w:fill="FFFFFF" w:val="clear"/>
          </w:tcPr>
          <w:p>
            <w:r>
              <w:t xml:space="preserve">Restored as explicit hardcoded management inputs: 3,538,847.96 and 45,873,640.26 — the exact figures every other Year 1/Year 2 statement was already built around</w:t>
            </w:r>
          </w:p>
        </w:tc>
      </w:tr>
      <w:tr>
        <w:tc>
          <w:tcPr>
            <w:tcW w:type="dxa" w:w="2400"/>
            <w:shd w:fill="F2F2F2" w:val="clear"/>
          </w:tcPr>
          <w:p>
            <w:r>
              <w:t xml:space="preserve">Regulatory Capital Plan!B38:F38</w:t>
            </w:r>
          </w:p>
        </w:tc>
        <w:tc>
          <w:tcPr>
            <w:tcW w:type="dxa" w:w="3600"/>
            <w:shd w:fill="F2F2F2" w:val="clear"/>
          </w:tcPr>
          <w:p>
            <w:r>
              <w:t xml:space="preserve">Largest actual customer/related-party exposure (concentration test)</w:t>
            </w:r>
          </w:p>
        </w:tc>
        <w:tc>
          <w:tcPr>
            <w:tcW w:type="dxa" w:w="3000"/>
            <w:shd w:fill="F2F2F2" w:val="clear"/>
          </w:tcPr>
          <w:p>
            <w:r>
              <w:t xml:space="preserve">Restored as the plain-text “بيانات تشغيلية مطلوبة” (operational data required) label the downstream ISNUMBER() check already expects</w:t>
            </w:r>
          </w:p>
        </w:tc>
      </w:tr>
      <w:tr>
        <w:tc>
          <w:tcPr>
            <w:tcW w:type="dxa" w:w="2400"/>
            <w:shd w:fill="FFFFFF" w:val="clear"/>
          </w:tcPr>
          <w:p>
            <w:r>
              <w:t xml:space="preserve">Basel III!B66:F66</w:t>
            </w:r>
          </w:p>
        </w:tc>
        <w:tc>
          <w:tcPr>
            <w:tcW w:type="dxa" w:w="3600"/>
            <w:shd w:fill="FFFFFF" w:val="clear"/>
          </w:tcPr>
          <w:p>
            <w:r>
              <w:t xml:space="preserve">LCR mandatory minimum (100%)</w:t>
            </w:r>
          </w:p>
        </w:tc>
        <w:tc>
          <w:tcPr>
            <w:tcW w:type="dxa" w:w="3000"/>
            <w:shd w:fill="FFFFFF" w:val="clear"/>
          </w:tcPr>
          <w:p>
            <w:r>
              <w:t xml:space="preserve">Restored as =1, matching the identical, already-correct pattern used for the NSFR minimum at row 81</w:t>
            </w:r>
          </w:p>
        </w:tc>
      </w:tr>
    </w:tbl>
    <w:p>
      <w:pPr>
        <w:spacing w:after="160" w:before="160"/>
      </w:pPr>
    </w:p>
    <w:p>
      <w:pPr>
        <w:spacing w:after="160"/>
      </w:pPr>
      <w:r>
        <w:t xml:space="preserve">The restored lease-income values are not a guess: they are the exact numbers every downstream Year 1/Year 2 statement in this workbook was already built around (net profit, retained earnings, balance sheet, cash flow all already reconciled using them as cached values before this fix). They are also identical to the values already reported throughout Section 2 and Section 4 of this report. No approved commercial figure changed — the formula that generates it was simply broken, and is now repaired to produce the same number reliably, from any tool, on every future recalculation.</w:t>
      </w:r>
    </w:p>
    <w:p>
      <w:pPr>
        <w:pStyle w:val="Heading1"/>
        <w:spacing w:after="160" w:before="360"/>
      </w:pPr>
      <w:r>
        <w:t xml:space="preserve">4. Year 1 / Year 2 Freeze Test</w:t>
      </w:r>
    </w:p>
    <w:p>
      <w:pPr>
        <w:spacing w:after="160"/>
      </w:pPr>
      <w:r>
        <w:t xml:space="preserve">Method: a baseline was built by applying only the twelve broken-formula fixes (Section 3) to the untouched original workbook, then genuinely recalculating it — giving a proper, error-free reference for what Year 1 and Year 2 were always supposed to show. Every cell in all 33 sheets was then compared, real computed value against real computed value, to the fully corrected workbook. 324 cells differ; of those, roughly 260 are pure diacritic-mark text edits (no change in meaning or number) and the remainder are exactly the leverage-cap fix and its dependent status cells (Regulatory Capital Plan, Monthly Model, Checks, Compliance, Ratios, جاهزية التقديم) correctly flipping to show the real Year 2 gap — all regulatory-calculation cells, explicitly excluded from the freeze per the brief.</w:t>
      </w:r>
    </w:p>
    <w:p>
      <w:pPr>
        <w:spacing w:after="160"/>
      </w:pPr>
      <w:r>
        <w:t xml:space="preserve">No cell holding an approved Year 1 or Year 2 origination, portfolio, income-statement, balance-sheet, cash-flow, staffing, opex, capex, or capital figure differs by more than floating-point noise (&lt;0.01).</w:t>
      </w:r>
    </w:p>
    <w:p>
      <w:pPr>
        <w:spacing w:after="60"/>
      </w:pPr>
      <w:r>
        <w:rPr>
          <w:b/>
          <w:bCs/>
        </w:rPr>
        <w:t xml:space="preserve">Result: </w:t>
      </w:r>
      <w:r>
        <w:rPr>
          <w:b/>
          <w:bCs/>
          <w:color w:val="1E7B34"/>
        </w:rPr>
        <w:t xml:space="preserve">0 unauthorized Year 1 / Year 2 plan-figure changes, verified on real recalculated values</w:t>
      </w:r>
    </w:p>
    <w:p>
      <w:pPr>
        <w:pStyle w:val="Heading1"/>
        <w:spacing w:after="160" w:before="360"/>
      </w:pPr>
      <w:r>
        <w:t xml:space="preserve">5. Other Corrections Made</w:t>
      </w:r>
    </w:p>
    <w:p>
      <w:pPr>
        <w:pStyle w:val="Heading2"/>
        <w:spacing w:after="120" w:before="280"/>
      </w:pPr>
      <w:r>
        <w:t xml:space="preserve">5.1 Arabic diacritics removed</w:t>
      </w:r>
    </w:p>
    <w:p>
      <w:pPr>
        <w:spacing w:after="160"/>
      </w:pPr>
      <w:r>
        <w:t xml:space="preserve">277 cells across the workbook (label text and formula string-literals) had tashkeel (َ ً ُ ٌ ِ ٍ ّ ْ) stripped, per the house style for clean professional Arabic.</w:t>
      </w:r>
    </w:p>
    <w:p>
      <w:pPr>
        <w:pStyle w:val="Heading2"/>
        <w:spacing w:after="120" w:before="280"/>
      </w:pPr>
      <w:r>
        <w:t xml:space="preserve">5.2 Broken navigation links repaired</w:t>
      </w:r>
    </w:p>
    <w:p>
      <w:pPr>
        <w:spacing w:after="160"/>
      </w:pPr>
      <w:r>
        <w:t xml:space="preserve">13 hyperlinks in the Cover sheet and the جاهزية التقديم sheet were found pointing at a stray leftover filename (residue of a prior automated editing pass) instead of the intended worksheet, and had no internal anchor set — clicking them would not have navigated anywhere. All 13 were rebuilt as proper internal Excel hyperlinks. Every hyperlink in the workbook (47 native links plus 32 formula-based HYPERLINK() navigation buttons on the دليل الملف sheet — 79 in total) was then verified to resolve to a real, existing sheet.</w:t>
      </w:r>
    </w:p>
    <w:p>
      <w:pPr>
        <w:pStyle w:val="Heading2"/>
        <w:spacing w:after="120" w:before="280"/>
      </w:pPr>
      <w:r>
        <w:t xml:space="preserve">5.3 Process-residue artifact removed</w:t>
      </w:r>
    </w:p>
    <w:p>
      <w:pPr>
        <w:spacing w:after="160"/>
      </w:pPr>
      <w:r>
        <w:t xml:space="preserve">One stray cell (رد الملاحظات!D55) contained a leftover intermediate filename from a prior automated editing pass, outside the sheet's used content area. It has been cleared.</w:t>
      </w:r>
    </w:p>
    <w:p>
      <w:pPr>
        <w:pStyle w:val="Heading2"/>
        <w:spacing w:after="120" w:before="280"/>
      </w:pPr>
      <w:r>
        <w:t xml:space="preserve">5.4 AI / chat / audit-trail search</w:t>
      </w:r>
    </w:p>
    <w:p>
      <w:pPr>
        <w:spacing w:after="160"/>
      </w:pPr>
      <w:r>
        <w:t xml:space="preserve">A full-workbook keyword search for ChatGPT, Claude, AI, prompt, agent, audit bot, red team, and similar phrases (English and Arabic) returned zero matches. No internal diagnostic commentary or chat-derived language was found.</w:t>
      </w:r>
    </w:p>
    <w:p>
      <w:pPr>
        <w:pStyle w:val="Heading1"/>
        <w:spacing w:after="160" w:before="360"/>
      </w:pPr>
      <w:r>
        <w:t xml:space="preserve">6. What Was Already Sound (No Change Needed)</w:t>
      </w:r>
    </w:p>
    <w:p>
      <w:pPr>
        <w:spacing w:after="160"/>
      </w:pPr>
      <w:r>
        <w:t xml:space="preserve">This workbook was materially more disciplined than a typical first draft. The following were reviewed and found already correct, and were left untouched:</w:t>
      </w:r>
    </w:p>
    <w:p>
      <w:pPr>
        <w:pStyle w:val="ListParagraph"/>
        <w:numPr>
          <w:ilvl w:val="0"/>
          <w:numId w:val="1"/>
        </w:numPr>
        <w:spacing w:after="80"/>
      </w:pPr>
      <w:r>
        <w:t xml:space="preserve">Capital adequacy stack: the 12% Pillar-1 minimum and the 2.5% capital conservation buffer are already kept as two distinct tests (Regulatory Capital Plan rows 32 and 53–58) — the model does not silently fold them into a single hard 14.5% minimum.</w:t>
      </w:r>
    </w:p>
    <w:p>
      <w:pPr>
        <w:pStyle w:val="ListParagraph"/>
        <w:numPr>
          <w:ilvl w:val="0"/>
          <w:numId w:val="1"/>
        </w:numPr>
        <w:spacing w:after="80"/>
      </w:pPr>
      <w:r>
        <w:t xml:space="preserve">LCR: net outflows already use the 90% cap on eligible inflows (not 75%) — Funding &amp; Liquidity rows 19, 83 and Basel III row 63.</w:t>
      </w:r>
    </w:p>
    <w:p>
      <w:pPr>
        <w:pStyle w:val="ListParagraph"/>
        <w:numPr>
          <w:ilvl w:val="0"/>
          <w:numId w:val="1"/>
        </w:numPr>
        <w:spacing w:after="80"/>
      </w:pPr>
      <w:r>
        <w:t xml:space="preserve">NSFR: built from an explicit maturity-bucket ladder with disclosed planning weights, not invented percentages.</w:t>
      </w:r>
    </w:p>
    <w:p>
      <w:pPr>
        <w:pStyle w:val="ListParagraph"/>
        <w:numPr>
          <w:ilvl w:val="0"/>
          <w:numId w:val="1"/>
        </w:numPr>
        <w:spacing w:after="80"/>
      </w:pPr>
      <w:r>
        <w:t xml:space="preserve">Regulatory status cells (CAR, LCR, NSFR, single-obligor concentration): already labeled “استرشادي / بيانات معلقة” (indicative / pending data) rather than a false definitive PASS, wherever the underlying data is genuinely unavailable.</w:t>
      </w:r>
    </w:p>
    <w:p>
      <w:pPr>
        <w:pStyle w:val="ListParagraph"/>
        <w:numPr>
          <w:ilvl w:val="0"/>
          <w:numId w:val="1"/>
        </w:numPr>
        <w:spacing w:after="80"/>
      </w:pPr>
      <w:r>
        <w:t xml:space="preserve">Three-statement reconciliation: Balance Sheet balances every year (residual &lt; 1.2e-7, floating-point noise only), Cash Flow closing cash ties exactly to the Balance Sheet, and the Checks sheet reproduces each relationship independently rather than referencing another PASS cell.</w:t>
      </w:r>
    </w:p>
    <w:p>
      <w:pPr>
        <w:pStyle w:val="ListParagraph"/>
        <w:numPr>
          <w:ilvl w:val="0"/>
          <w:numId w:val="1"/>
        </w:numPr>
        <w:spacing w:after="80"/>
      </w:pPr>
      <w:r>
        <w:t xml:space="preserve">A genuine two-scenario Year-2 mitigation comparison already existed in Funding &amp; Liquidity (rows 62–66) and in the dedicated Scenario – Slower Year 2 / Scenario – Standby Capital sheets, both of which already used a hard 4× test independent of the buggy assumption.</w:t>
      </w:r>
    </w:p>
    <w:p>
      <w:pPr>
        <w:pStyle w:val="Heading1"/>
        <w:spacing w:after="160" w:before="360"/>
      </w:pPr>
      <w:r>
        <w:t xml:space="preserve">7. Formula-Integrity Scan</w:t>
      </w:r>
    </w:p>
    <w:p>
      <w:pPr>
        <w:spacing w:after="160"/>
      </w:pPr>
      <w:r>
        <w:t xml:space="preserve">A full automated recalculation was completed in LibreOffice Calc. (It initially failed: this environment's LibreOffice installation was missing its actual Calc and Writer application modules — only the core runtime was present, so it could not load any document at all, not even LibreOffice's own bundled sample file. That was diagnosed and repaired by installing the missing libreoffice-calc / libreoffice-writer packages, after which recalculation worked normally.)</w:t>
      </w:r>
    </w:p>
    <w:p>
      <w:pPr>
        <w:spacing w:after="60"/>
      </w:pPr>
      <w:r>
        <w:rPr>
          <w:b/>
          <w:bCs/>
        </w:rPr>
        <w:t xml:space="preserve">Full-workbook recalculation status: </w:t>
      </w:r>
      <w:r>
        <w:rPr>
          <w:b/>
          <w:bCs/>
          <w:color w:val="1E7B34"/>
        </w:rPr>
        <w:t xml:space="preserve">success — 0 errors</w:t>
      </w:r>
    </w:p>
    <w:p>
      <w:pPr>
        <w:spacing w:after="60"/>
      </w:pPr>
      <w:r>
        <w:rPr>
          <w:b/>
          <w:bCs/>
        </w:rPr>
        <w:t xml:space="preserve">Formulas recalculated: </w:t>
      </w:r>
      <w:r>
        <w:rPr>
          <w:b w:val="false"/>
          <w:bCs w:val="false"/>
        </w:rPr>
        <w:t xml:space="preserve">4,776</w:t>
      </w:r>
    </w:p>
    <w:p>
      <w:pPr>
        <w:spacing w:after="60"/>
      </w:pPr>
      <w:r>
        <w:rPr>
          <w:b/>
          <w:bCs/>
        </w:rPr>
        <w:t xml:space="preserve">Error cells (#REF!, #DIV/0!, #VALUE!, #NAME?, #NUM!, #N/A, #NULL!): </w:t>
      </w:r>
      <w:r>
        <w:rPr>
          <w:b/>
          <w:bCs/>
          <w:color w:val="1E7B34"/>
        </w:rPr>
        <w:t xml:space="preserve">0</w:t>
      </w:r>
    </w:p>
    <w:p>
      <w:pPr>
        <w:spacing w:after="60"/>
      </w:pPr>
      <w:r>
        <w:rPr>
          <w:b/>
          <w:bCs/>
        </w:rPr>
        <w:t xml:space="preserve">Same recalculation run against the unmodified original file: </w:t>
      </w:r>
      <w:r>
        <w:rPr>
          <w:b/>
          <w:bCs/>
          <w:color w:val="C00000"/>
        </w:rPr>
        <w:t xml:space="preserve">1,310 #N/A errors, all traced to Section 3's twelve broken formulas</w:t>
      </w:r>
    </w:p>
    <w:p>
      <w:pPr>
        <w:spacing w:after="160"/>
      </w:pPr>
      <w:r>
        <w:t xml:space="preserve">The 1,310 pre-existing errors were entirely masked in the original file because nothing had ever actually recalculated it in this pipeline before now — every tool that only reads cached values (openpyxl, quick previews, this session's own earlier passes) silently showed the last value Excel had cached, with no way to detect that the generating formula was broken. This is precisely why a real recalculation, not a syntax check, is the only verification that counts — and it is now clean.</w:t>
      </w:r>
    </w:p>
    <w:p>
      <w:pPr>
        <w:spacing w:after="160"/>
      </w:pPr>
      <w:r>
        <w:t xml:space="preserve">All 79 internal hyperlinks (Section 5.2) and the Year 2 leverage results (Section 2.3) were re-verified after this recalculation and are unaffected by it.</w:t>
      </w:r>
    </w:p>
    <w:p>
      <w:pPr>
        <w:pStyle w:val="Heading1"/>
        <w:spacing w:after="160" w:before="360"/>
      </w:pPr>
      <w:r>
        <w:t xml:space="preserve">8. Regulatory Source Verification — Disclosed Limitation</w:t>
      </w:r>
    </w:p>
    <w:p>
      <w:pPr>
        <w:spacing w:after="160"/>
      </w:pPr>
      <w:r>
        <w:t xml:space="preserve">Outbound network access to the official FRA source documents cited in the brief (fra.gov.eg PDFs for Decisions 268/2023 and 137/2025) was blocked by this session's network policy. Secondary press coverage of Decision 137/2025 was reachable and is directionally consistent with what the workbook already documents (Basel III framework, phased application starting 1 January 2026, mandatory from 1 January 2027), but exact article-by-article citation against the primary legal text could not be independently re-verified this session.</w:t>
      </w:r>
    </w:p>
    <w:p>
      <w:pPr>
        <w:spacing w:after="160"/>
      </w:pPr>
      <w:r>
        <w:t xml:space="preserve">The Year 2 leverage-ceiling correction in Section 2 does not depend on this limitation — it corrects an internal date-logic defect against the rule the workbook's own existing disclosures (Assumptions!B113, Sources!S01) and this task's brief already state. The capital-stack, LCR-cap, and NSFR treatments in Section 6 were likewise judged against standard, well-established Basel III mechanics that Egypt's Decision 137/2025 is press-confirmed to follow, not against a freshly re-read primary text.</w:t>
      </w:r>
    </w:p>
    <w:p>
      <w:pPr>
        <w:spacing w:after="160"/>
      </w:pPr>
      <w:r>
        <w:rPr>
          <w:i/>
          <w:iCs/>
          <w:color w:val="595959"/>
        </w:rPr>
        <w:t xml:space="preserve">This is flagged as an open item for legal / compliance sign-off before the workbook is submitted to the FRA, exactly as the workbook's own “Regulatory Data Requirements” sheet already requires for pending external confirmations.</w:t>
      </w:r>
    </w:p>
    <w:p>
      <w:pPr>
        <w:pStyle w:val="Heading1"/>
        <w:spacing w:after="160" w:before="360"/>
      </w:pPr>
      <w:r>
        <w:t xml:space="preserve">9. Recommended Next Steps Before Submission</w:t>
      </w:r>
    </w:p>
    <w:p>
      <w:pPr>
        <w:pStyle w:val="ListParagraph"/>
        <w:numPr>
          <w:ilvl w:val="0"/>
          <w:numId w:val="1"/>
        </w:numPr>
        <w:spacing w:after="80"/>
      </w:pPr>
      <w:r>
        <w:t xml:space="preserve">Decide how to close the Year 2 leverage gap: reduce Year 2 bank debt by ~EGP 77.2m, inject ~EGP 19.3m of additional equity, or submit with the honest gap disclosed and a committed remediation timeline — using the existing Scenario – Slower Year 2 / Scenario – Standby Capital sheets.</w:t>
      </w:r>
    </w:p>
    <w:p>
      <w:pPr>
        <w:pStyle w:val="ListParagraph"/>
        <w:numPr>
          <w:ilvl w:val="0"/>
          <w:numId w:val="1"/>
        </w:numPr>
        <w:spacing w:after="80"/>
      </w:pPr>
      <w:r>
        <w:t xml:space="preserve">None required for recalculation — it is already confirmed clean in this session (Section 7). Still open the final workbook once in Excel as a last sanity check before submission.</w:t>
      </w:r>
    </w:p>
    <w:p>
      <w:pPr>
        <w:pStyle w:val="ListParagraph"/>
        <w:numPr>
          <w:ilvl w:val="0"/>
          <w:numId w:val="1"/>
        </w:numPr>
        <w:spacing w:after="80"/>
      </w:pPr>
      <w:r>
        <w:t xml:space="preserve">Complete the 15 outstanding items tracked in the Regulatory Data Requirements sheet (actual license issuance, bank facility contracts, fixed-asset register, customer concentration register, etc.) before treating any regulatory ratio as final.</w:t>
      </w:r>
    </w:p>
    <w:p>
      <w:pPr>
        <w:pStyle w:val="ListParagraph"/>
        <w:numPr>
          <w:ilvl w:val="0"/>
          <w:numId w:val="1"/>
        </w:numPr>
        <w:spacing w:after="80"/>
      </w:pPr>
      <w:r>
        <w:t xml:space="preserve">Obtain the written legal opinion on the venture-capital primary-funding condition (Decision 268/2023, Article 3(9)) already flagged in Regulatory Data Requirements item 13 — unresolved and material given Year 2's reliance on bank funding.</w:t>
      </w:r>
    </w:p>
    <w:p>
      <w:pPr>
        <w:pStyle w:val="ListParagraph"/>
        <w:numPr>
          <w:ilvl w:val="0"/>
          <w:numId w:val="1"/>
        </w:numPr>
        <w:spacing w:after="80"/>
      </w:pPr>
      <w:r>
        <w:t xml:space="preserve">Re-verify the exact capital-stack and LCR/NSFR article citations against the primary FRA PDF text once network access is available, per Section 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2026-09-02T13:43:00.288Z</dcterms:created>
  <dcterms:modified xsi:type="dcterms:W3CDTF">2026-09-02T13:43:00.288Z</dcterms:modified>
</cp:coreProperties>
</file>

<file path=docProps/custom.xml><?xml version="1.0" encoding="utf-8"?>
<Properties xmlns="http://schemas.openxmlformats.org/officeDocument/2006/custom-properties" xmlns:vt="http://schemas.openxmlformats.org/officeDocument/2006/docPropsVTypes"/>
</file>