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60"/>
        <w:jc w:val="center"/>
      </w:pPr>
      <w:r>
        <w:rPr>
          <w:rFonts w:ascii="Calibri" w:cs="Calibri" w:eastAsia="Calibri" w:hAnsi="Calibri"/>
          <w:b/>
          <w:bCs/>
          <w:color w:val="DC2626"/>
          <w:sz w:val="64"/>
          <w:szCs w:val="64"/>
        </w:rPr>
        <w:t xml:space="preserve">TECHXSERVE</w:t>
      </w:r>
    </w:p>
    <w:p>
      <w:pPr>
        <w:spacing w:after="600"/>
        <w:jc w:val="center"/>
      </w:pPr>
      <w:r>
        <w:rPr>
          <w:rFonts w:ascii="Calibri" w:cs="Calibri" w:eastAsia="Calibri" w:hAnsi="Calibri"/>
          <w:b/>
          <w:bCs/>
          <w:color w:val="0F172A"/>
          <w:sz w:val="22"/>
          <w:szCs w:val="22"/>
        </w:rPr>
        <w:t xml:space="preserve">ENTERPRISE  LLC</w:t>
      </w:r>
    </w:p>
    <w:p>
      <w:pPr>
        <w:pBdr>
          <w:bottom w:val="single" w:color="DC2626" w:sz="18" w:space="1"/>
        </w:pBdr>
        <w:spacing w:after="60" w:before="60"/>
      </w:pPr>
      <w:r>
        <w:t xml:space="preserve"/>
      </w:r>
    </w:p>
    <w:p>
      <w:pPr>
        <w:spacing w:after="200"/>
      </w:pPr>
      <w:r>
        <w:t xml:space="preserve"/>
      </w:r>
    </w:p>
    <w:p>
      <w:pPr>
        <w:spacing w:after="200"/>
        <w:jc w:val="center"/>
      </w:pPr>
      <w:r>
        <w:rPr>
          <w:rFonts w:ascii="Calibri" w:cs="Calibri" w:eastAsia="Calibri" w:hAnsi="Calibri"/>
          <w:b/>
          <w:bCs/>
          <w:color w:val="0F172A"/>
          <w:sz w:val="40"/>
          <w:szCs w:val="40"/>
        </w:rPr>
        <w:t xml:space="preserve">CRM Platform</w:t>
      </w:r>
    </w:p>
    <w:p>
      <w:pPr>
        <w:spacing w:after="200"/>
        <w:jc w:val="center"/>
      </w:pPr>
      <w:r>
        <w:rPr>
          <w:rFonts w:ascii="Calibri" w:cs="Calibri" w:eastAsia="Calibri" w:hAnsi="Calibri"/>
          <w:b/>
          <w:bCs/>
          <w:color w:val="DC2626"/>
          <w:sz w:val="32"/>
          <w:szCs w:val="32"/>
        </w:rPr>
        <w:t xml:space="preserve">Developer Specification &amp; Restructure Brief</w:t>
      </w:r>
    </w:p>
    <w:p>
      <w:pPr>
        <w:spacing w:after="800"/>
        <w:jc w:val="center"/>
      </w:pPr>
      <w:r>
        <w:rPr>
          <w:rFonts w:ascii="Calibri" w:cs="Calibri" w:eastAsia="Calibri" w:hAnsi="Calibri"/>
          <w:i/>
          <w:iCs/>
          <w:color w:val="64748B"/>
          <w:sz w:val="22"/>
          <w:szCs w:val="22"/>
        </w:rPr>
        <w:t xml:space="preserve">Internal document for the engineering team.</w:t>
      </w:r>
    </w:p>
    <w:tbl>
      <w:tblPr>
        <w:tblW w:type="dxa" w:w="9360"/>
        <w:tblBorders>
          <w:top w:val="single" w:color="DC2626" w:sz="6"/>
          <w:left w:val="single" w:color="DC2626" w:sz="18"/>
          <w:bottom w:val="single" w:color="DC2626" w:sz="6"/>
          <w:right w:val="single" w:color="DC2626" w:sz="6"/>
          <w:insideH w:val="none" w:color="FFFFFF" w:sz="0"/>
          <w:insideV w:val="none" w:color="FFFFFF" w:sz="0"/>
        </w:tblBorders>
      </w:tblPr>
      <w:tblGrid>
        <w:gridCol w:w="9360"/>
      </w:tblGrid>
      <w:tr>
        <w:tc>
          <w:tcPr>
            <w:tcW w:type="dxa" w:w="9360"/>
            <w:shd w:fill="FEF2F2" w:val="clear"/>
            <w:tcMar>
              <w:top w:type="dxa" w:w="180"/>
              <w:left w:type="dxa" w:w="240"/>
              <w:bottom w:type="dxa" w:w="180"/>
              <w:right w:type="dxa" w:w="240"/>
            </w:tcMar>
          </w:tcPr>
          <w:p>
            <w:pPr>
              <w:spacing w:after="100"/>
            </w:pPr>
            <w:r>
              <w:rPr>
                <w:rFonts w:ascii="Calibri" w:cs="Calibri" w:eastAsia="Calibri" w:hAnsi="Calibri"/>
                <w:b/>
                <w:bCs/>
                <w:color w:val="991B1B"/>
                <w:sz w:val="24"/>
                <w:szCs w:val="24"/>
              </w:rPr>
              <w:t xml:space="preserve">Purpose of this document</w:t>
            </w:r>
          </w:p>
          <w:p>
            <w:pPr>
              <w:spacing w:after="0" w:line="320"/>
            </w:pPr>
            <w:r>
              <w:rPr>
                <w:rFonts w:ascii="Calibri" w:cs="Calibri" w:eastAsia="Calibri" w:hAnsi="Calibri"/>
                <w:color w:val="334155"/>
                <w:sz w:val="22"/>
                <w:szCs w:val="22"/>
              </w:rPr>
              <w:t xml:space="preserve">This brief lays out the recommended structure, modules, naming conventions, missing features, and architectural patterns for the TECHXSERVE security-services CRM. Treat it as the source of truth when planning the next two sprints. Anything not covered here defaults to current implementation.</w:t>
            </w:r>
          </w:p>
        </w:tc>
      </w:tr>
    </w:tbl>
    <w:p>
      <w:pPr>
        <w:spacing w:after="800"/>
      </w:pPr>
      <w:r>
        <w:t xml:space="preserve"/>
      </w:r>
    </w:p>
    <w:p>
      <w:pPr>
        <w:spacing w:after="60"/>
        <w:jc w:val="center"/>
      </w:pPr>
      <w:r>
        <w:rPr>
          <w:rFonts w:ascii="Calibri" w:cs="Calibri" w:eastAsia="Calibri" w:hAnsi="Calibri"/>
          <w:color w:val="64748B"/>
          <w:sz w:val="18"/>
          <w:szCs w:val="18"/>
        </w:rPr>
        <w:t xml:space="preserve">Prepared for</w:t>
      </w:r>
    </w:p>
    <w:p>
      <w:pPr>
        <w:spacing w:after="200"/>
        <w:jc w:val="center"/>
      </w:pPr>
      <w:r>
        <w:rPr>
          <w:rFonts w:ascii="Calibri" w:cs="Calibri" w:eastAsia="Calibri" w:hAnsi="Calibri"/>
          <w:b/>
          <w:bCs/>
          <w:color w:val="0F172A"/>
          <w:sz w:val="24"/>
          <w:szCs w:val="24"/>
        </w:rPr>
        <w:t xml:space="preserve">TECHXSERVE Engineering Team</w:t>
      </w:r>
    </w:p>
    <w:p>
      <w:pPr>
        <w:pStyle w:val="Heading1"/>
        <w:pageBreakBefore/>
        <w:spacing w:after="240" w:before="200"/>
      </w:pPr>
      <w:r>
        <w:rPr>
          <w:rFonts w:ascii="Calibri" w:cs="Calibri" w:eastAsia="Calibri" w:hAnsi="Calibri"/>
          <w:b/>
          <w:bCs/>
          <w:color w:val="991B1B"/>
          <w:sz w:val="36"/>
          <w:szCs w:val="36"/>
        </w:rPr>
        <w:t xml:space="preserve">Contents</w:t>
      </w:r>
    </w:p>
    <w:p>
      <w:pPr>
        <w:spacing w:after="120" w:line="320"/>
      </w:pPr>
      <w:r>
        <w:rPr>
          <w:rFonts w:ascii="Calibri" w:cs="Calibri" w:eastAsia="Calibri" w:hAnsi="Calibri"/>
          <w:b/>
          <w:bCs/>
          <w:color w:val="DC2626"/>
          <w:sz w:val="22"/>
          <w:szCs w:val="22"/>
        </w:rPr>
        <w:t xml:space="preserve">1.   </w:t>
      </w:r>
      <w:r>
        <w:rPr>
          <w:rFonts w:ascii="Calibri" w:cs="Calibri" w:eastAsia="Calibri" w:hAnsi="Calibri"/>
          <w:color w:val="0F172A"/>
          <w:sz w:val="22"/>
          <w:szCs w:val="22"/>
        </w:rPr>
        <w:t xml:space="preserve">The Five Core Workflows</w:t>
      </w:r>
    </w:p>
    <w:p>
      <w:pPr>
        <w:spacing w:after="120" w:line="320"/>
      </w:pPr>
      <w:r>
        <w:rPr>
          <w:rFonts w:ascii="Calibri" w:cs="Calibri" w:eastAsia="Calibri" w:hAnsi="Calibri"/>
          <w:b/>
          <w:bCs/>
          <w:color w:val="DC2626"/>
          <w:sz w:val="22"/>
          <w:szCs w:val="22"/>
        </w:rPr>
        <w:t xml:space="preserve">2.   </w:t>
      </w:r>
      <w:r>
        <w:rPr>
          <w:rFonts w:ascii="Calibri" w:cs="Calibri" w:eastAsia="Calibri" w:hAnsi="Calibri"/>
          <w:color w:val="0F172A"/>
          <w:sz w:val="22"/>
          <w:szCs w:val="22"/>
        </w:rPr>
        <w:t xml:space="preserve">Recommended Sidebar Structure</w:t>
      </w:r>
    </w:p>
    <w:p>
      <w:pPr>
        <w:spacing w:after="120" w:line="320"/>
      </w:pPr>
      <w:r>
        <w:rPr>
          <w:rFonts w:ascii="Calibri" w:cs="Calibri" w:eastAsia="Calibri" w:hAnsi="Calibri"/>
          <w:b/>
          <w:bCs/>
          <w:color w:val="DC2626"/>
          <w:sz w:val="22"/>
          <w:szCs w:val="22"/>
        </w:rPr>
        <w:t xml:space="preserve">3.   </w:t>
      </w:r>
      <w:r>
        <w:rPr>
          <w:rFonts w:ascii="Calibri" w:cs="Calibri" w:eastAsia="Calibri" w:hAnsi="Calibri"/>
          <w:color w:val="0F172A"/>
          <w:sz w:val="22"/>
          <w:szCs w:val="22"/>
        </w:rPr>
        <w:t xml:space="preserve">Module-by-Module Specification</w:t>
      </w:r>
    </w:p>
    <w:p>
      <w:pPr>
        <w:spacing w:after="120" w:line="320"/>
      </w:pPr>
      <w:r>
        <w:rPr>
          <w:rFonts w:ascii="Calibri" w:cs="Calibri" w:eastAsia="Calibri" w:hAnsi="Calibri"/>
          <w:b/>
          <w:bCs/>
          <w:color w:val="DC2626"/>
          <w:sz w:val="22"/>
          <w:szCs w:val="22"/>
        </w:rPr>
        <w:t xml:space="preserve">4.   </w:t>
      </w:r>
      <w:r>
        <w:rPr>
          <w:rFonts w:ascii="Calibri" w:cs="Calibri" w:eastAsia="Calibri" w:hAnsi="Calibri"/>
          <w:color w:val="0F172A"/>
          <w:sz w:val="22"/>
          <w:szCs w:val="22"/>
        </w:rPr>
        <w:t xml:space="preserve">Security-Specific Modules to Build</w:t>
      </w:r>
    </w:p>
    <w:p>
      <w:pPr>
        <w:spacing w:after="120" w:line="320"/>
      </w:pPr>
      <w:r>
        <w:rPr>
          <w:rFonts w:ascii="Calibri" w:cs="Calibri" w:eastAsia="Calibri" w:hAnsi="Calibri"/>
          <w:b/>
          <w:bCs/>
          <w:color w:val="DC2626"/>
          <w:sz w:val="22"/>
          <w:szCs w:val="22"/>
        </w:rPr>
        <w:t xml:space="preserve">5.   </w:t>
      </w:r>
      <w:r>
        <w:rPr>
          <w:rFonts w:ascii="Calibri" w:cs="Calibri" w:eastAsia="Calibri" w:hAnsi="Calibri"/>
          <w:color w:val="0F172A"/>
          <w:sz w:val="22"/>
          <w:szCs w:val="22"/>
        </w:rPr>
        <w:t xml:space="preserve">AI Assistant Integration</w:t>
      </w:r>
    </w:p>
    <w:p>
      <w:pPr>
        <w:spacing w:after="120" w:line="320"/>
      </w:pPr>
      <w:r>
        <w:rPr>
          <w:rFonts w:ascii="Calibri" w:cs="Calibri" w:eastAsia="Calibri" w:hAnsi="Calibri"/>
          <w:b/>
          <w:bCs/>
          <w:color w:val="DC2626"/>
          <w:sz w:val="22"/>
          <w:szCs w:val="22"/>
        </w:rPr>
        <w:t xml:space="preserve">6.   </w:t>
      </w:r>
      <w:r>
        <w:rPr>
          <w:rFonts w:ascii="Calibri" w:cs="Calibri" w:eastAsia="Calibri" w:hAnsi="Calibri"/>
          <w:color w:val="0F172A"/>
          <w:sz w:val="22"/>
          <w:szCs w:val="22"/>
        </w:rPr>
        <w:t xml:space="preserve">Architectural Patterns</w:t>
      </w:r>
    </w:p>
    <w:p>
      <w:pPr>
        <w:spacing w:after="120" w:line="320"/>
      </w:pPr>
      <w:r>
        <w:rPr>
          <w:rFonts w:ascii="Calibri" w:cs="Calibri" w:eastAsia="Calibri" w:hAnsi="Calibri"/>
          <w:b/>
          <w:bCs/>
          <w:color w:val="DC2626"/>
          <w:sz w:val="22"/>
          <w:szCs w:val="22"/>
        </w:rPr>
        <w:t xml:space="preserve">7.   </w:t>
      </w:r>
      <w:r>
        <w:rPr>
          <w:rFonts w:ascii="Calibri" w:cs="Calibri" w:eastAsia="Calibri" w:hAnsi="Calibri"/>
          <w:color w:val="0F172A"/>
          <w:sz w:val="22"/>
          <w:szCs w:val="22"/>
        </w:rPr>
        <w:t xml:space="preserve">Form &amp; UI Patterns</w:t>
      </w:r>
    </w:p>
    <w:p>
      <w:pPr>
        <w:spacing w:after="120" w:line="320"/>
      </w:pPr>
      <w:r>
        <w:rPr>
          <w:rFonts w:ascii="Calibri" w:cs="Calibri" w:eastAsia="Calibri" w:hAnsi="Calibri"/>
          <w:b/>
          <w:bCs/>
          <w:color w:val="DC2626"/>
          <w:sz w:val="22"/>
          <w:szCs w:val="22"/>
        </w:rPr>
        <w:t xml:space="preserve">8.   </w:t>
      </w:r>
      <w:r>
        <w:rPr>
          <w:rFonts w:ascii="Calibri" w:cs="Calibri" w:eastAsia="Calibri" w:hAnsi="Calibri"/>
          <w:color w:val="0F172A"/>
          <w:sz w:val="22"/>
          <w:szCs w:val="22"/>
        </w:rPr>
        <w:t xml:space="preserve">Accounting-Grade Requirements</w:t>
      </w:r>
    </w:p>
    <w:p>
      <w:pPr>
        <w:spacing w:after="120" w:line="320"/>
      </w:pPr>
      <w:r>
        <w:rPr>
          <w:rFonts w:ascii="Calibri" w:cs="Calibri" w:eastAsia="Calibri" w:hAnsi="Calibri"/>
          <w:b/>
          <w:bCs/>
          <w:color w:val="DC2626"/>
          <w:sz w:val="22"/>
          <w:szCs w:val="22"/>
        </w:rPr>
        <w:t xml:space="preserve">9.   </w:t>
      </w:r>
      <w:r>
        <w:rPr>
          <w:rFonts w:ascii="Calibri" w:cs="Calibri" w:eastAsia="Calibri" w:hAnsi="Calibri"/>
          <w:color w:val="0F172A"/>
          <w:sz w:val="22"/>
          <w:szCs w:val="22"/>
        </w:rPr>
        <w:t xml:space="preserve">Priority Roadmap (Next 90 Days)</w:t>
      </w:r>
    </w:p>
    <w:p>
      <w:pPr>
        <w:spacing w:after="120" w:line="320"/>
      </w:pPr>
      <w:r>
        <w:rPr>
          <w:rFonts w:ascii="Calibri" w:cs="Calibri" w:eastAsia="Calibri" w:hAnsi="Calibri"/>
          <w:b/>
          <w:bCs/>
          <w:color w:val="DC2626"/>
          <w:sz w:val="22"/>
          <w:szCs w:val="22"/>
        </w:rPr>
        <w:t xml:space="preserve">10.   </w:t>
      </w:r>
      <w:r>
        <w:rPr>
          <w:rFonts w:ascii="Calibri" w:cs="Calibri" w:eastAsia="Calibri" w:hAnsi="Calibri"/>
          <w:color w:val="0F172A"/>
          <w:sz w:val="22"/>
          <w:szCs w:val="22"/>
        </w:rPr>
        <w:t xml:space="preserve">Appendix: Field Reference</w:t>
      </w:r>
    </w:p>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1. The Five Core Workflows</w:t>
      </w:r>
    </w:p>
    <w:p>
      <w:pPr>
        <w:spacing w:after="120" w:before="0" w:line="300"/>
        <w:jc w:val="left"/>
      </w:pPr>
      <w:r>
        <w:rPr>
          <w:rFonts w:ascii="Calibri" w:cs="Calibri" w:eastAsia="Calibri" w:hAnsi="Calibri"/>
          <w:b w:val="false"/>
          <w:bCs w:val="false"/>
          <w:i w:val="false"/>
          <w:iCs w:val="false"/>
          <w:color w:val="334155"/>
          <w:sz w:val="22"/>
          <w:szCs w:val="22"/>
        </w:rPr>
        <w:t xml:space="preserve">A security-services firm runs on five interlocking workflows. Every module in the CRM should map clearly to one of them. If a module does not fit, it is bloat. If a workflow has no clear home, it is a gap to fill.</w:t>
      </w:r>
    </w:p>
    <w:p>
      <w:pPr>
        <w:pStyle w:val="Heading2"/>
        <w:spacing w:after="100" w:before="280"/>
      </w:pPr>
      <w:r>
        <w:rPr>
          <w:rFonts w:ascii="Calibri" w:cs="Calibri" w:eastAsia="Calibri" w:hAnsi="Calibri"/>
          <w:b/>
          <w:bCs/>
          <w:color w:val="0F172A"/>
          <w:sz w:val="28"/>
          <w:szCs w:val="28"/>
        </w:rPr>
        <w:t xml:space="preserve">Workflow 1: Deploy</w:t>
      </w:r>
    </w:p>
    <w:p>
      <w:pPr>
        <w:spacing w:after="120" w:before="0" w:line="300"/>
        <w:jc w:val="left"/>
      </w:pPr>
      <w:r>
        <w:rPr>
          <w:rFonts w:ascii="Calibri" w:cs="Calibri" w:eastAsia="Calibri" w:hAnsi="Calibri"/>
          <w:b w:val="false"/>
          <w:bCs w:val="false"/>
          <w:i w:val="false"/>
          <w:iCs w:val="false"/>
          <w:color w:val="334155"/>
          <w:sz w:val="22"/>
          <w:szCs w:val="22"/>
        </w:rPr>
        <w:t xml:space="preserve">Who is posted where, on what shift, under which contract. Master records: Clients, Contracts, Employees, Branches, Posts.</w:t>
      </w:r>
    </w:p>
    <w:p>
      <w:pPr>
        <w:pStyle w:val="Heading2"/>
        <w:spacing w:after="100" w:before="280"/>
      </w:pPr>
      <w:r>
        <w:rPr>
          <w:rFonts w:ascii="Calibri" w:cs="Calibri" w:eastAsia="Calibri" w:hAnsi="Calibri"/>
          <w:b/>
          <w:bCs/>
          <w:color w:val="0F172A"/>
          <w:sz w:val="28"/>
          <w:szCs w:val="28"/>
        </w:rPr>
        <w:t xml:space="preserve">Workflow 2: Track</w:t>
      </w:r>
    </w:p>
    <w:p>
      <w:pPr>
        <w:spacing w:after="120" w:before="0" w:line="300"/>
        <w:jc w:val="left"/>
      </w:pPr>
      <w:r>
        <w:rPr>
          <w:rFonts w:ascii="Calibri" w:cs="Calibri" w:eastAsia="Calibri" w:hAnsi="Calibri"/>
          <w:b w:val="false"/>
          <w:bCs w:val="false"/>
          <w:i w:val="false"/>
          <w:iCs w:val="false"/>
          <w:color w:val="334155"/>
          <w:sz w:val="22"/>
          <w:szCs w:val="22"/>
        </w:rPr>
        <w:t xml:space="preserve">Daily attendance, reliever cover, incidents, weapons issued, leaves taken. This is the highest-frequency interaction in the system. It must be fast on both desktop and mobile.</w:t>
      </w:r>
    </w:p>
    <w:p>
      <w:pPr>
        <w:pStyle w:val="Heading2"/>
        <w:spacing w:after="100" w:before="280"/>
      </w:pPr>
      <w:r>
        <w:rPr>
          <w:rFonts w:ascii="Calibri" w:cs="Calibri" w:eastAsia="Calibri" w:hAnsi="Calibri"/>
          <w:b/>
          <w:bCs/>
          <w:color w:val="0F172A"/>
          <w:sz w:val="28"/>
          <w:szCs w:val="28"/>
        </w:rPr>
        <w:t xml:space="preserve">Workflow 3: Pay</w:t>
      </w:r>
    </w:p>
    <w:p>
      <w:pPr>
        <w:spacing w:after="120" w:before="0" w:line="300"/>
        <w:jc w:val="left"/>
      </w:pPr>
      <w:r>
        <w:rPr>
          <w:rFonts w:ascii="Calibri" w:cs="Calibri" w:eastAsia="Calibri" w:hAnsi="Calibri"/>
          <w:b w:val="false"/>
          <w:bCs w:val="false"/>
          <w:i w:val="false"/>
          <w:iCs w:val="false"/>
          <w:color w:val="334155"/>
          <w:sz w:val="22"/>
          <w:szCs w:val="22"/>
        </w:rPr>
        <w:t xml:space="preserve">Payroll computation, advances, statutory deductions (EOBI, IESSI, PESSI, SESSI), bonuses, disbursement by cash or cheque, and reconciliation against bank balances.</w:t>
      </w:r>
    </w:p>
    <w:p>
      <w:pPr>
        <w:pStyle w:val="Heading2"/>
        <w:spacing w:after="100" w:before="280"/>
      </w:pPr>
      <w:r>
        <w:rPr>
          <w:rFonts w:ascii="Calibri" w:cs="Calibri" w:eastAsia="Calibri" w:hAnsi="Calibri"/>
          <w:b/>
          <w:bCs/>
          <w:color w:val="0F172A"/>
          <w:sz w:val="28"/>
          <w:szCs w:val="28"/>
        </w:rPr>
        <w:t xml:space="preserve">Workflow 4: Bill</w:t>
      </w:r>
    </w:p>
    <w:p>
      <w:pPr>
        <w:spacing w:after="120" w:before="0" w:line="300"/>
        <w:jc w:val="left"/>
      </w:pPr>
      <w:r>
        <w:rPr>
          <w:rFonts w:ascii="Calibri" w:cs="Calibri" w:eastAsia="Calibri" w:hAnsi="Calibri"/>
          <w:b w:val="false"/>
          <w:bCs w:val="false"/>
          <w:i w:val="false"/>
          <w:iCs w:val="false"/>
          <w:color w:val="334155"/>
          <w:sz w:val="22"/>
          <w:szCs w:val="22"/>
        </w:rPr>
        <w:t xml:space="preserve">Invoice generation per client per month, withholding tax handling, receivables tracking, payment recording, client statements, and aging reports.</w:t>
      </w:r>
    </w:p>
    <w:p>
      <w:pPr>
        <w:pStyle w:val="Heading2"/>
        <w:spacing w:after="100" w:before="280"/>
      </w:pPr>
      <w:r>
        <w:rPr>
          <w:rFonts w:ascii="Calibri" w:cs="Calibri" w:eastAsia="Calibri" w:hAnsi="Calibri"/>
          <w:b/>
          <w:bCs/>
          <w:color w:val="0F172A"/>
          <w:sz w:val="28"/>
          <w:szCs w:val="28"/>
        </w:rPr>
        <w:t xml:space="preserve">Workflow 5: Comply</w:t>
      </w:r>
    </w:p>
    <w:p>
      <w:pPr>
        <w:spacing w:after="120" w:before="0" w:line="300"/>
        <w:jc w:val="left"/>
      </w:pPr>
      <w:r>
        <w:rPr>
          <w:rFonts w:ascii="Calibri" w:cs="Calibri" w:eastAsia="Calibri" w:hAnsi="Calibri"/>
          <w:b w:val="false"/>
          <w:bCs w:val="false"/>
          <w:i w:val="false"/>
          <w:iCs w:val="false"/>
          <w:color w:val="334155"/>
          <w:sz w:val="22"/>
          <w:szCs w:val="22"/>
        </w:rPr>
        <w:t xml:space="preserve">Guard licences, weapon licences, police verifications, medical certificates, EOBI/IESSI/PESSI registrations, PESRA / provincial agency renewals, contract expiries, vehicle fitness, route permits, and company-level SECP filings.</w:t>
      </w:r>
    </w:p>
    <w:p>
      <w:pPr>
        <w:spacing w:after="160"/>
      </w:pPr>
      <w:r>
        <w:t xml:space="preserve"/>
      </w:r>
    </w:p>
    <w:tbl>
      <w:tblPr>
        <w:tblW w:type="dxa" w:w="9360"/>
        <w:tblBorders>
          <w:top w:val="single" w:color="059669" w:sz="6"/>
          <w:left w:val="single" w:color="059669" w:sz="18"/>
          <w:bottom w:val="single" w:color="059669" w:sz="6"/>
          <w:right w:val="single" w:color="059669" w:sz="6"/>
          <w:insideH w:val="none" w:color="FFFFFF" w:sz="0"/>
          <w:insideV w:val="none" w:color="FFFFFF" w:sz="0"/>
        </w:tblBorders>
      </w:tblPr>
      <w:tblGrid>
        <w:gridCol w:w="9360"/>
      </w:tblGrid>
      <w:tr>
        <w:tc>
          <w:tcPr>
            <w:tcW w:type="dxa" w:w="9360"/>
            <w:shd w:fill="ECFDF5" w:val="clear"/>
            <w:tcMar>
              <w:top w:type="dxa" w:w="180"/>
              <w:left w:type="dxa" w:w="240"/>
              <w:bottom w:type="dxa" w:w="180"/>
              <w:right w:type="dxa" w:w="240"/>
            </w:tcMar>
          </w:tcPr>
          <w:p>
            <w:pPr>
              <w:spacing w:after="80"/>
            </w:pPr>
            <w:r>
              <w:rPr>
                <w:rFonts w:ascii="Calibri" w:cs="Calibri" w:eastAsia="Calibri" w:hAnsi="Calibri"/>
                <w:b/>
                <w:bCs/>
                <w:color w:val="059669"/>
                <w:sz w:val="22"/>
                <w:szCs w:val="22"/>
              </w:rPr>
              <w:t xml:space="preserve">Rule of thumb</w:t>
            </w:r>
          </w:p>
          <w:p>
            <w:pPr>
              <w:spacing w:after="0" w:line="300"/>
            </w:pPr>
            <w:r>
              <w:rPr>
                <w:rFonts w:ascii="Calibri" w:cs="Calibri" w:eastAsia="Calibri" w:hAnsi="Calibri"/>
                <w:color w:val="334155"/>
                <w:sz w:val="22"/>
                <w:szCs w:val="22"/>
              </w:rPr>
              <w:t xml:space="preserve">Before adding any new screen or feature, ask: which of the five workflows does this serve? If the answer is "none" or "all of them," it is the wrong feature.</w:t>
            </w:r>
          </w:p>
        </w:tc>
      </w:tr>
    </w:tbl>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2. Recommended Sidebar Structure</w:t>
      </w:r>
    </w:p>
    <w:p>
      <w:pPr>
        <w:spacing w:after="120" w:before="0" w:line="300"/>
        <w:jc w:val="left"/>
      </w:pPr>
      <w:r>
        <w:rPr>
          <w:rFonts w:ascii="Calibri" w:cs="Calibri" w:eastAsia="Calibri" w:hAnsi="Calibri"/>
          <w:b w:val="false"/>
          <w:bCs w:val="false"/>
          <w:i w:val="false"/>
          <w:iCs w:val="false"/>
          <w:color w:val="334155"/>
          <w:sz w:val="22"/>
          <w:szCs w:val="22"/>
        </w:rPr>
        <w:t xml:space="preserve">Current sidebar is a flat list of 15 items. New sidebar uses collapsible groups so the navigation mirrors how the business operates. Group icons remain visible at all times; children expand on click.</w:t>
      </w:r>
    </w:p>
    <w:p>
      <w:pPr>
        <w:spacing w:after="120"/>
      </w:pPr>
      <w:r>
        <w:t xml:space="preserve"/>
      </w:r>
    </w:p>
    <w:p>
      <w:pPr>
        <w:shd w:fill="F8FAFC" w:val="clear"/>
        <w:spacing w:after="60" w:before="60" w:line="280"/>
      </w:pPr>
      <w:r>
        <w:rPr>
          <w:rFonts w:ascii="Consolas" w:cs="Consolas" w:eastAsia="Consolas" w:hAnsi="Consolas"/>
          <w:color w:val="0F172A"/>
          <w:sz w:val="20"/>
          <w:szCs w:val="20"/>
        </w:rPr>
        <w:t xml:space="preserve">OVERVIEW</w:t>
      </w:r>
    </w:p>
    <w:p>
      <w:pPr>
        <w:shd w:fill="F8FAFC" w:val="clear"/>
        <w:spacing w:after="60" w:before="60" w:line="280"/>
      </w:pPr>
      <w:r>
        <w:rPr>
          <w:rFonts w:ascii="Consolas" w:cs="Consolas" w:eastAsia="Consolas" w:hAnsi="Consolas"/>
          <w:color w:val="0F172A"/>
          <w:sz w:val="20"/>
          <w:szCs w:val="20"/>
        </w:rPr>
        <w:t xml:space="preserve">  └── Dashboard</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CONTRACTS &amp; CLIENTS</w:t>
      </w:r>
    </w:p>
    <w:p>
      <w:pPr>
        <w:shd w:fill="F8FAFC" w:val="clear"/>
        <w:spacing w:after="60" w:before="60" w:line="280"/>
      </w:pPr>
      <w:r>
        <w:rPr>
          <w:rFonts w:ascii="Consolas" w:cs="Consolas" w:eastAsia="Consolas" w:hAnsi="Consolas"/>
          <w:color w:val="0F172A"/>
          <w:sz w:val="20"/>
          <w:szCs w:val="20"/>
        </w:rPr>
        <w:t xml:space="preserve">  ├── Clients</w:t>
      </w:r>
    </w:p>
    <w:p>
      <w:pPr>
        <w:shd w:fill="F8FAFC" w:val="clear"/>
        <w:spacing w:after="60" w:before="60" w:line="280"/>
      </w:pPr>
      <w:r>
        <w:rPr>
          <w:rFonts w:ascii="Consolas" w:cs="Consolas" w:eastAsia="Consolas" w:hAnsi="Consolas"/>
          <w:color w:val="0F172A"/>
          <w:sz w:val="20"/>
          <w:szCs w:val="20"/>
        </w:rPr>
        <w:t xml:space="preserve">  ├── Contracts</w:t>
      </w:r>
    </w:p>
    <w:p>
      <w:pPr>
        <w:shd w:fill="F8FAFC" w:val="clear"/>
        <w:spacing w:after="60" w:before="60" w:line="280"/>
      </w:pPr>
      <w:r>
        <w:rPr>
          <w:rFonts w:ascii="Consolas" w:cs="Consolas" w:eastAsia="Consolas" w:hAnsi="Consolas"/>
          <w:color w:val="0F172A"/>
          <w:sz w:val="20"/>
          <w:szCs w:val="20"/>
        </w:rPr>
        <w:t xml:space="preserve">  └── Invoices</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WORKFORCE</w:t>
      </w:r>
    </w:p>
    <w:p>
      <w:pPr>
        <w:shd w:fill="F8FAFC" w:val="clear"/>
        <w:spacing w:after="60" w:before="60" w:line="280"/>
      </w:pPr>
      <w:r>
        <w:rPr>
          <w:rFonts w:ascii="Consolas" w:cs="Consolas" w:eastAsia="Consolas" w:hAnsi="Consolas"/>
          <w:color w:val="0F172A"/>
          <w:sz w:val="20"/>
          <w:szCs w:val="20"/>
        </w:rPr>
        <w:t xml:space="preserve">  ├── Employees</w:t>
      </w:r>
    </w:p>
    <w:p>
      <w:pPr>
        <w:shd w:fill="F8FAFC" w:val="clear"/>
        <w:spacing w:after="60" w:before="60" w:line="280"/>
      </w:pPr>
      <w:r>
        <w:rPr>
          <w:rFonts w:ascii="Consolas" w:cs="Consolas" w:eastAsia="Consolas" w:hAnsi="Consolas"/>
          <w:color w:val="0F172A"/>
          <w:sz w:val="20"/>
          <w:szCs w:val="20"/>
        </w:rPr>
        <w:t xml:space="preserve">  ├── Attendance</w:t>
      </w:r>
    </w:p>
    <w:p>
      <w:pPr>
        <w:shd w:fill="F8FAFC" w:val="clear"/>
        <w:spacing w:after="60" w:before="60" w:line="280"/>
      </w:pPr>
      <w:r>
        <w:rPr>
          <w:rFonts w:ascii="Consolas" w:cs="Consolas" w:eastAsia="Consolas" w:hAnsi="Consolas"/>
          <w:color w:val="0F172A"/>
          <w:sz w:val="20"/>
          <w:szCs w:val="20"/>
        </w:rPr>
        <w:t xml:space="preserve">  ├── Payroll</w:t>
      </w:r>
    </w:p>
    <w:p>
      <w:pPr>
        <w:shd w:fill="F8FAFC" w:val="clear"/>
        <w:spacing w:after="60" w:before="60" w:line="280"/>
      </w:pPr>
      <w:r>
        <w:rPr>
          <w:rFonts w:ascii="Consolas" w:cs="Consolas" w:eastAsia="Consolas" w:hAnsi="Consolas"/>
          <w:color w:val="0F172A"/>
          <w:sz w:val="20"/>
          <w:szCs w:val="20"/>
        </w:rPr>
        <w:t xml:space="preserve">  ├── Relievers</w:t>
      </w:r>
    </w:p>
    <w:p>
      <w:pPr>
        <w:shd w:fill="F8FAFC" w:val="clear"/>
        <w:spacing w:after="60" w:before="60" w:line="280"/>
      </w:pPr>
      <w:r>
        <w:rPr>
          <w:rFonts w:ascii="Consolas" w:cs="Consolas" w:eastAsia="Consolas" w:hAnsi="Consolas"/>
          <w:color w:val="0F172A"/>
          <w:sz w:val="20"/>
          <w:szCs w:val="20"/>
        </w:rPr>
        <w:t xml:space="preserve">  └── Leaves &amp; Advances</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OPERATIONS</w:t>
      </w:r>
    </w:p>
    <w:p>
      <w:pPr>
        <w:shd w:fill="F8FAFC" w:val="clear"/>
        <w:spacing w:after="60" w:before="60" w:line="280"/>
      </w:pPr>
      <w:r>
        <w:rPr>
          <w:rFonts w:ascii="Consolas" w:cs="Consolas" w:eastAsia="Consolas" w:hAnsi="Consolas"/>
          <w:color w:val="0F172A"/>
          <w:sz w:val="20"/>
          <w:szCs w:val="20"/>
        </w:rPr>
        <w:t xml:space="preserve">  ├── Deployment Roster</w:t>
      </w:r>
    </w:p>
    <w:p>
      <w:pPr>
        <w:shd w:fill="F8FAFC" w:val="clear"/>
        <w:spacing w:after="60" w:before="60" w:line="280"/>
      </w:pPr>
      <w:r>
        <w:rPr>
          <w:rFonts w:ascii="Consolas" w:cs="Consolas" w:eastAsia="Consolas" w:hAnsi="Consolas"/>
          <w:color w:val="0F172A"/>
          <w:sz w:val="20"/>
          <w:szCs w:val="20"/>
        </w:rPr>
        <w:t xml:space="preserve">  ├── Incidents</w:t>
      </w:r>
    </w:p>
    <w:p>
      <w:pPr>
        <w:shd w:fill="F8FAFC" w:val="clear"/>
        <w:spacing w:after="60" w:before="60" w:line="280"/>
      </w:pPr>
      <w:r>
        <w:rPr>
          <w:rFonts w:ascii="Consolas" w:cs="Consolas" w:eastAsia="Consolas" w:hAnsi="Consolas"/>
          <w:color w:val="0F172A"/>
          <w:sz w:val="20"/>
          <w:szCs w:val="20"/>
        </w:rPr>
        <w:t xml:space="preserve">  └── Inventory &amp; Weapons</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FINANCE</w:t>
      </w:r>
    </w:p>
    <w:p>
      <w:pPr>
        <w:shd w:fill="F8FAFC" w:val="clear"/>
        <w:spacing w:after="60" w:before="60" w:line="280"/>
      </w:pPr>
      <w:r>
        <w:rPr>
          <w:rFonts w:ascii="Consolas" w:cs="Consolas" w:eastAsia="Consolas" w:hAnsi="Consolas"/>
          <w:color w:val="0F172A"/>
          <w:sz w:val="20"/>
          <w:szCs w:val="20"/>
        </w:rPr>
        <w:t xml:space="preserve">  ├── Banks &amp; Ledgers      (was: Accounting)</w:t>
      </w:r>
    </w:p>
    <w:p>
      <w:pPr>
        <w:shd w:fill="F8FAFC" w:val="clear"/>
        <w:spacing w:after="60" w:before="60" w:line="280"/>
      </w:pPr>
      <w:r>
        <w:rPr>
          <w:rFonts w:ascii="Consolas" w:cs="Consolas" w:eastAsia="Consolas" w:hAnsi="Consolas"/>
          <w:color w:val="0F172A"/>
          <w:sz w:val="20"/>
          <w:szCs w:val="20"/>
        </w:rPr>
        <w:t xml:space="preserve">  ├── Expenses</w:t>
      </w:r>
    </w:p>
    <w:p>
      <w:pPr>
        <w:shd w:fill="F8FAFC" w:val="clear"/>
        <w:spacing w:after="60" w:before="60" w:line="280"/>
      </w:pPr>
      <w:r>
        <w:rPr>
          <w:rFonts w:ascii="Consolas" w:cs="Consolas" w:eastAsia="Consolas" w:hAnsi="Consolas"/>
          <w:color w:val="0F172A"/>
          <w:sz w:val="20"/>
          <w:szCs w:val="20"/>
        </w:rPr>
        <w:t xml:space="preserve">  ├── Cash Flow</w:t>
      </w:r>
    </w:p>
    <w:p>
      <w:pPr>
        <w:shd w:fill="F8FAFC" w:val="clear"/>
        <w:spacing w:after="60" w:before="60" w:line="280"/>
      </w:pPr>
      <w:r>
        <w:rPr>
          <w:rFonts w:ascii="Consolas" w:cs="Consolas" w:eastAsia="Consolas" w:hAnsi="Consolas"/>
          <w:color w:val="0F172A"/>
          <w:sz w:val="20"/>
          <w:szCs w:val="20"/>
        </w:rPr>
        <w:t xml:space="preserve">  └── Financial Reports</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COMPLIANCE</w:t>
      </w:r>
    </w:p>
    <w:p>
      <w:pPr>
        <w:shd w:fill="F8FAFC" w:val="clear"/>
        <w:spacing w:after="60" w:before="60" w:line="280"/>
      </w:pPr>
      <w:r>
        <w:rPr>
          <w:rFonts w:ascii="Consolas" w:cs="Consolas" w:eastAsia="Consolas" w:hAnsi="Consolas"/>
          <w:color w:val="0F172A"/>
          <w:sz w:val="20"/>
          <w:szCs w:val="20"/>
        </w:rPr>
        <w:t xml:space="preserve">  ├── Licences &amp; Renewals</w:t>
      </w:r>
    </w:p>
    <w:p>
      <w:pPr>
        <w:shd w:fill="F8FAFC" w:val="clear"/>
        <w:spacing w:after="60" w:before="60" w:line="280"/>
      </w:pPr>
      <w:r>
        <w:rPr>
          <w:rFonts w:ascii="Consolas" w:cs="Consolas" w:eastAsia="Consolas" w:hAnsi="Consolas"/>
          <w:color w:val="0F172A"/>
          <w:sz w:val="20"/>
          <w:szCs w:val="20"/>
        </w:rPr>
        <w:t xml:space="preserve">  ├── Compliance Calendar  (was: Compliance &amp; Alerts)</w:t>
      </w:r>
    </w:p>
    <w:p>
      <w:pPr>
        <w:shd w:fill="F8FAFC" w:val="clear"/>
        <w:spacing w:after="60" w:before="60" w:line="280"/>
      </w:pPr>
      <w:r>
        <w:rPr>
          <w:rFonts w:ascii="Consolas" w:cs="Consolas" w:eastAsia="Consolas" w:hAnsi="Consolas"/>
          <w:color w:val="0F172A"/>
          <w:sz w:val="20"/>
          <w:szCs w:val="20"/>
        </w:rPr>
        <w:t xml:space="preserve">  └── Documents</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ADMIN</w:t>
      </w:r>
    </w:p>
    <w:p>
      <w:pPr>
        <w:shd w:fill="F8FAFC" w:val="clear"/>
        <w:spacing w:after="60" w:before="60" w:line="280"/>
      </w:pPr>
      <w:r>
        <w:rPr>
          <w:rFonts w:ascii="Consolas" w:cs="Consolas" w:eastAsia="Consolas" w:hAnsi="Consolas"/>
          <w:color w:val="0F172A"/>
          <w:sz w:val="20"/>
          <w:szCs w:val="20"/>
        </w:rPr>
        <w:t xml:space="preserve">  ├── Tasks</w:t>
      </w:r>
    </w:p>
    <w:p>
      <w:pPr>
        <w:shd w:fill="F8FAFC" w:val="clear"/>
        <w:spacing w:after="60" w:before="60" w:line="280"/>
      </w:pPr>
      <w:r>
        <w:rPr>
          <w:rFonts w:ascii="Consolas" w:cs="Consolas" w:eastAsia="Consolas" w:hAnsi="Consolas"/>
          <w:color w:val="0F172A"/>
          <w:sz w:val="20"/>
          <w:szCs w:val="20"/>
        </w:rPr>
        <w:t xml:space="preserve">  ├── Users &amp; Permissions  (was: User Management)</w:t>
      </w:r>
    </w:p>
    <w:p>
      <w:pPr>
        <w:shd w:fill="F8FAFC" w:val="clear"/>
        <w:spacing w:after="60" w:before="60" w:line="280"/>
      </w:pPr>
      <w:r>
        <w:rPr>
          <w:rFonts w:ascii="Consolas" w:cs="Consolas" w:eastAsia="Consolas" w:hAnsi="Consolas"/>
          <w:color w:val="0F172A"/>
          <w:sz w:val="20"/>
          <w:szCs w:val="20"/>
        </w:rPr>
        <w:t xml:space="preserve">  └── Settings</w:t>
      </w:r>
    </w:p>
    <w:p>
      <w:pPr>
        <w:spacing w:after="200"/>
      </w:pPr>
      <w:r>
        <w:t xml:space="preserve"/>
      </w:r>
    </w:p>
    <w:p>
      <w:pPr>
        <w:pStyle w:val="Heading3"/>
        <w:spacing w:after="80" w:before="220"/>
      </w:pPr>
      <w:r>
        <w:rPr>
          <w:rFonts w:ascii="Calibri" w:cs="Calibri" w:eastAsia="Calibri" w:hAnsi="Calibri"/>
          <w:b/>
          <w:bCs/>
          <w:color w:val="DC2626"/>
          <w:sz w:val="24"/>
          <w:szCs w:val="24"/>
        </w:rPr>
        <w:t xml:space="preserve">Behaviour notes</w:t>
      </w:r>
    </w:p>
    <w:p>
      <w:pPr>
        <w:pStyle w:val="ListParagraph"/>
        <w:numPr>
          <w:ilvl w:val="0"/>
          <w:numId w:val="2"/>
        </w:numPr>
        <w:spacing w:after="80" w:line="290"/>
      </w:pPr>
      <w:r>
        <w:rPr>
          <w:rFonts w:ascii="Calibri" w:cs="Calibri" w:eastAsia="Calibri" w:hAnsi="Calibri"/>
          <w:color w:val="334155"/>
          <w:sz w:val="22"/>
          <w:szCs w:val="22"/>
        </w:rPr>
        <w:t xml:space="preserve">Groups collapse and expand on click. The default expanded group is whichever contains the current page.</w:t>
      </w:r>
    </w:p>
    <w:p>
      <w:pPr>
        <w:pStyle w:val="ListParagraph"/>
        <w:numPr>
          <w:ilvl w:val="0"/>
          <w:numId w:val="2"/>
        </w:numPr>
        <w:spacing w:after="80" w:line="290"/>
      </w:pPr>
      <w:r>
        <w:rPr>
          <w:rFonts w:ascii="Calibri" w:cs="Calibri" w:eastAsia="Calibri" w:hAnsi="Calibri"/>
          <w:color w:val="334155"/>
          <w:sz w:val="22"/>
          <w:szCs w:val="22"/>
        </w:rPr>
        <w:t xml:space="preserve">Group headings (OVERVIEW, WORKFORCE, etc.) are visually distinct from module items: smaller caps, muted colour, no icon.</w:t>
      </w:r>
    </w:p>
    <w:p>
      <w:pPr>
        <w:pStyle w:val="ListParagraph"/>
        <w:numPr>
          <w:ilvl w:val="0"/>
          <w:numId w:val="2"/>
        </w:numPr>
        <w:spacing w:after="80" w:line="290"/>
      </w:pPr>
      <w:r>
        <w:rPr>
          <w:rFonts w:ascii="Calibri" w:cs="Calibri" w:eastAsia="Calibri" w:hAnsi="Calibri"/>
          <w:color w:val="334155"/>
          <w:sz w:val="22"/>
          <w:szCs w:val="22"/>
        </w:rPr>
        <w:t xml:space="preserve">The active module is highlighted with the brand red background.</w:t>
      </w:r>
    </w:p>
    <w:p>
      <w:pPr>
        <w:pStyle w:val="ListParagraph"/>
        <w:numPr>
          <w:ilvl w:val="0"/>
          <w:numId w:val="2"/>
        </w:numPr>
        <w:spacing w:after="80" w:line="290"/>
      </w:pPr>
      <w:r>
        <w:rPr>
          <w:rFonts w:ascii="Calibri" w:cs="Calibri" w:eastAsia="Calibri" w:hAnsi="Calibri"/>
          <w:color w:val="334155"/>
          <w:sz w:val="22"/>
          <w:szCs w:val="22"/>
        </w:rPr>
        <w:t xml:space="preserve">On screens narrower than 1024px, the entire sidebar collapses to icon-only mode; group labels appear on hover.</w:t>
      </w:r>
    </w:p>
    <w:p>
      <w:pPr>
        <w:pStyle w:val="ListParagraph"/>
        <w:numPr>
          <w:ilvl w:val="0"/>
          <w:numId w:val="2"/>
        </w:numPr>
        <w:spacing w:after="80" w:line="290"/>
      </w:pPr>
      <w:r>
        <w:rPr>
          <w:rFonts w:ascii="Calibri" w:cs="Calibri" w:eastAsia="Calibri" w:hAnsi="Calibri"/>
          <w:color w:val="334155"/>
          <w:sz w:val="22"/>
          <w:szCs w:val="22"/>
        </w:rPr>
        <w:t xml:space="preserve">User preferences for which groups are expanded should persist per user, not per session.</w:t>
      </w:r>
    </w:p>
    <w:p>
      <w:pPr>
        <w:spacing w:after="160"/>
      </w:pPr>
      <w:r>
        <w:t xml:space="preserve"/>
      </w:r>
    </w:p>
    <w:p>
      <w:pPr>
        <w:pStyle w:val="Heading3"/>
        <w:spacing w:after="80" w:before="220"/>
      </w:pPr>
      <w:r>
        <w:rPr>
          <w:rFonts w:ascii="Calibri" w:cs="Calibri" w:eastAsia="Calibri" w:hAnsi="Calibri"/>
          <w:b/>
          <w:bCs/>
          <w:color w:val="DC2626"/>
          <w:sz w:val="24"/>
          <w:szCs w:val="24"/>
        </w:rPr>
        <w:t xml:space="preserve">Naming changes summary</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000"/>
        <w:gridCol w:w="1800"/>
        <w:gridCol w:w="1000"/>
        <w:gridCol w:w="3560"/>
      </w:tblGrid>
      <w:tr>
        <w:trPr>
          <w:tblHeader/>
        </w:trPr>
        <w:tc>
          <w:tcPr>
            <w:tcW w:type="dxa" w:w="3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8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1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Req</w:t>
            </w:r>
          </w:p>
        </w:tc>
        <w:tc>
          <w:tcPr>
            <w:tcW w:type="dxa" w:w="356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Current name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Type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Action</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New name</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Accounting</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Module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Rename</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Banks &amp; Ledgers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Cashflow</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Module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Rename</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Cash Flow (two words)</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Compliance &amp; Alerts</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Module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Rename</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Compliance Calendar</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User Management</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Module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Rename</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Users &amp; Permissions</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Settings → Client Management</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Section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Promote</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Clients (top-level module)</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Settings → Branch Management</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Section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Keep in Settings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Branches</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Settings → Location Management</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Section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Clarify purpose</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Posts / Deployment Sites</w:t>
            </w:r>
          </w:p>
        </w:tc>
      </w:tr>
    </w:tbl>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3. Module-by-Module Specification</w:t>
      </w:r>
    </w:p>
    <w:p>
      <w:pPr>
        <w:pStyle w:val="Heading2"/>
        <w:spacing w:after="100" w:before="280"/>
      </w:pPr>
      <w:r>
        <w:rPr>
          <w:rFonts w:ascii="Calibri" w:cs="Calibri" w:eastAsia="Calibri" w:hAnsi="Calibri"/>
          <w:b/>
          <w:bCs/>
          <w:color w:val="0F172A"/>
          <w:sz w:val="28"/>
          <w:szCs w:val="28"/>
        </w:rPr>
        <w:t xml:space="preserve">3.1 Clients</w:t>
      </w:r>
    </w:p>
    <w:p>
      <w:pPr>
        <w:spacing w:after="120" w:before="0" w:line="300"/>
        <w:jc w:val="left"/>
      </w:pPr>
      <w:r>
        <w:rPr>
          <w:rFonts w:ascii="Calibri" w:cs="Calibri" w:eastAsia="Calibri" w:hAnsi="Calibri"/>
          <w:b w:val="false"/>
          <w:bCs w:val="false"/>
          <w:i w:val="false"/>
          <w:iCs w:val="false"/>
          <w:color w:val="334155"/>
          <w:sz w:val="22"/>
          <w:szCs w:val="22"/>
        </w:rPr>
        <w:t xml:space="preserve">Currently buried inside Settings as "Client Management." Promote to a top-level module under CONTRACTS &amp; CLIENTS. A client is a master record, not a configuration item.</w:t>
      </w:r>
    </w:p>
    <w:p>
      <w:pPr>
        <w:pStyle w:val="Heading3"/>
        <w:spacing w:after="80" w:before="220"/>
      </w:pPr>
      <w:r>
        <w:rPr>
          <w:rFonts w:ascii="Calibri" w:cs="Calibri" w:eastAsia="Calibri" w:hAnsi="Calibri"/>
          <w:b/>
          <w:bCs/>
          <w:color w:val="DC2626"/>
          <w:sz w:val="24"/>
          <w:szCs w:val="24"/>
        </w:rPr>
        <w:t xml:space="preserve">Screens required</w:t>
      </w:r>
    </w:p>
    <w:p>
      <w:pPr>
        <w:pStyle w:val="ListParagraph"/>
        <w:numPr>
          <w:ilvl w:val="0"/>
          <w:numId w:val="2"/>
        </w:numPr>
        <w:spacing w:after="80" w:line="290"/>
      </w:pPr>
      <w:r>
        <w:rPr>
          <w:rFonts w:ascii="Calibri" w:cs="Calibri" w:eastAsia="Calibri" w:hAnsi="Calibri"/>
          <w:color w:val="334155"/>
          <w:sz w:val="22"/>
          <w:szCs w:val="22"/>
        </w:rPr>
        <w:t xml:space="preserve">List view: searchable, filterable by branch and status (active / inactive / contract-ended).</w:t>
      </w:r>
    </w:p>
    <w:p>
      <w:pPr>
        <w:pStyle w:val="ListParagraph"/>
        <w:numPr>
          <w:ilvl w:val="0"/>
          <w:numId w:val="2"/>
        </w:numPr>
        <w:spacing w:after="80" w:line="290"/>
      </w:pPr>
      <w:r>
        <w:rPr>
          <w:rFonts w:ascii="Calibri" w:cs="Calibri" w:eastAsia="Calibri" w:hAnsi="Calibri"/>
          <w:color w:val="334155"/>
          <w:sz w:val="22"/>
          <w:szCs w:val="22"/>
        </w:rPr>
        <w:t xml:space="preserve">Detail view: tabs for Overview, Contracts, Invoices, Employees Posted, Statement, Incidents, Documents.</w:t>
      </w:r>
    </w:p>
    <w:p>
      <w:pPr>
        <w:pStyle w:val="ListParagraph"/>
        <w:numPr>
          <w:ilvl w:val="0"/>
          <w:numId w:val="2"/>
        </w:numPr>
        <w:spacing w:after="80" w:line="290"/>
      </w:pPr>
      <w:r>
        <w:rPr>
          <w:rFonts w:ascii="Calibri" w:cs="Calibri" w:eastAsia="Calibri" w:hAnsi="Calibri"/>
          <w:color w:val="334155"/>
          <w:sz w:val="22"/>
          <w:szCs w:val="22"/>
        </w:rPr>
        <w:t xml:space="preserve">Add / Edit form: structured into Basic Info, Tax Info, Contract Defaults, Billing Setup, Branch Assignment.</w:t>
      </w:r>
    </w:p>
    <w:p>
      <w:pPr>
        <w:pStyle w:val="Heading3"/>
        <w:spacing w:after="80" w:before="220"/>
      </w:pPr>
      <w:r>
        <w:rPr>
          <w:rFonts w:ascii="Calibri" w:cs="Calibri" w:eastAsia="Calibri" w:hAnsi="Calibri"/>
          <w:b/>
          <w:bCs/>
          <w:color w:val="DC2626"/>
          <w:sz w:val="24"/>
          <w:szCs w:val="24"/>
        </w:rPr>
        <w:t xml:space="preserve">Missing fields to add</w:t>
      </w:r>
    </w:p>
    <w:p>
      <w:pPr>
        <w:pStyle w:val="ListParagraph"/>
        <w:numPr>
          <w:ilvl w:val="0"/>
          <w:numId w:val="2"/>
        </w:numPr>
        <w:spacing w:after="80" w:line="290"/>
      </w:pPr>
      <w:r>
        <w:rPr>
          <w:rFonts w:ascii="Calibri" w:cs="Calibri" w:eastAsia="Calibri" w:hAnsi="Calibri"/>
          <w:color w:val="334155"/>
          <w:sz w:val="22"/>
          <w:szCs w:val="22"/>
        </w:rPr>
        <w:t xml:space="preserve">NTN (National Tax Number) and STRN (Sales Tax Registration Number).</w:t>
      </w:r>
    </w:p>
    <w:p>
      <w:pPr>
        <w:pStyle w:val="ListParagraph"/>
        <w:numPr>
          <w:ilvl w:val="0"/>
          <w:numId w:val="2"/>
        </w:numPr>
        <w:spacing w:after="80" w:line="290"/>
      </w:pPr>
      <w:r>
        <w:rPr>
          <w:rFonts w:ascii="Calibri" w:cs="Calibri" w:eastAsia="Calibri" w:hAnsi="Calibri"/>
          <w:color w:val="334155"/>
          <w:sz w:val="22"/>
          <w:szCs w:val="22"/>
        </w:rPr>
        <w:t xml:space="preserve">Withholding tax rate (configurable per client; affects every invoice automatically).</w:t>
      </w:r>
    </w:p>
    <w:p>
      <w:pPr>
        <w:pStyle w:val="ListParagraph"/>
        <w:numPr>
          <w:ilvl w:val="0"/>
          <w:numId w:val="2"/>
        </w:numPr>
        <w:spacing w:after="80" w:line="290"/>
      </w:pPr>
      <w:r>
        <w:rPr>
          <w:rFonts w:ascii="Calibri" w:cs="Calibri" w:eastAsia="Calibri" w:hAnsi="Calibri"/>
          <w:color w:val="334155"/>
          <w:sz w:val="22"/>
          <w:szCs w:val="22"/>
        </w:rPr>
        <w:t xml:space="preserve">Filer / non-filer status.</w:t>
      </w:r>
    </w:p>
    <w:p>
      <w:pPr>
        <w:pStyle w:val="ListParagraph"/>
        <w:numPr>
          <w:ilvl w:val="0"/>
          <w:numId w:val="2"/>
        </w:numPr>
        <w:spacing w:after="80" w:line="290"/>
      </w:pPr>
      <w:r>
        <w:rPr>
          <w:rFonts w:ascii="Calibri" w:cs="Calibri" w:eastAsia="Calibri" w:hAnsi="Calibri"/>
          <w:color w:val="334155"/>
          <w:sz w:val="22"/>
          <w:szCs w:val="22"/>
        </w:rPr>
        <w:t xml:space="preserve">Billing address (separate from main address).</w:t>
      </w:r>
    </w:p>
    <w:p>
      <w:pPr>
        <w:pStyle w:val="ListParagraph"/>
        <w:numPr>
          <w:ilvl w:val="0"/>
          <w:numId w:val="2"/>
        </w:numPr>
        <w:spacing w:after="80" w:line="290"/>
      </w:pPr>
      <w:r>
        <w:rPr>
          <w:rFonts w:ascii="Calibri" w:cs="Calibri" w:eastAsia="Calibri" w:hAnsi="Calibri"/>
          <w:color w:val="334155"/>
          <w:sz w:val="22"/>
          <w:szCs w:val="22"/>
        </w:rPr>
        <w:t xml:space="preserve">Authorised signatory name and CNIC (for contract execution).</w:t>
      </w:r>
    </w:p>
    <w:p>
      <w:pPr>
        <w:pStyle w:val="ListParagraph"/>
        <w:numPr>
          <w:ilvl w:val="0"/>
          <w:numId w:val="2"/>
        </w:numPr>
        <w:spacing w:after="80" w:line="290"/>
      </w:pPr>
      <w:r>
        <w:rPr>
          <w:rFonts w:ascii="Calibri" w:cs="Calibri" w:eastAsia="Calibri" w:hAnsi="Calibri"/>
          <w:color w:val="334155"/>
          <w:sz w:val="22"/>
          <w:szCs w:val="22"/>
        </w:rPr>
        <w:t xml:space="preserve">Industry / sector (banks, schools, residential, retail, industrial) for analytics.</w:t>
      </w:r>
    </w:p>
    <w:p>
      <w:pPr>
        <w:pStyle w:val="Heading2"/>
        <w:spacing w:after="100" w:before="280"/>
      </w:pPr>
      <w:r>
        <w:rPr>
          <w:rFonts w:ascii="Calibri" w:cs="Calibri" w:eastAsia="Calibri" w:hAnsi="Calibri"/>
          <w:b/>
          <w:bCs/>
          <w:color w:val="0F172A"/>
          <w:sz w:val="28"/>
          <w:szCs w:val="28"/>
        </w:rPr>
        <w:t xml:space="preserve">3.2 Contracts</w:t>
      </w:r>
    </w:p>
    <w:p>
      <w:pPr>
        <w:spacing w:after="120" w:before="0" w:line="300"/>
        <w:jc w:val="left"/>
      </w:pPr>
      <w:r>
        <w:rPr>
          <w:rFonts w:ascii="Calibri" w:cs="Calibri" w:eastAsia="Calibri" w:hAnsi="Calibri"/>
          <w:b w:val="false"/>
          <w:bCs w:val="false"/>
          <w:i w:val="false"/>
          <w:iCs w:val="false"/>
          <w:color w:val="334155"/>
          <w:sz w:val="22"/>
          <w:szCs w:val="22"/>
        </w:rPr>
        <w:t xml:space="preserve">Currently does not exist as a separate entity. Contract fields are mixed into the Client form. Split them out. A client can have multiple contracts simultaneously, each with different rates, durations, and post counts.</w:t>
      </w:r>
    </w:p>
    <w:p>
      <w:pPr>
        <w:pStyle w:val="Heading3"/>
        <w:spacing w:after="80" w:before="220"/>
      </w:pPr>
      <w:r>
        <w:rPr>
          <w:rFonts w:ascii="Calibri" w:cs="Calibri" w:eastAsia="Calibri" w:hAnsi="Calibri"/>
          <w:b/>
          <w:bCs/>
          <w:color w:val="DC2626"/>
          <w:sz w:val="24"/>
          <w:szCs w:val="24"/>
        </w:rPr>
        <w:t xml:space="preserve">Fields</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000"/>
        <w:gridCol w:w="1800"/>
        <w:gridCol w:w="1000"/>
        <w:gridCol w:w="3560"/>
      </w:tblGrid>
      <w:tr>
        <w:trPr>
          <w:tblHeader/>
        </w:trPr>
        <w:tc>
          <w:tcPr>
            <w:tcW w:type="dxa" w:w="3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8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1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Req</w:t>
            </w:r>
          </w:p>
        </w:tc>
        <w:tc>
          <w:tcPr>
            <w:tcW w:type="dxa" w:w="356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Contract ID</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Auto-generated</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CON-0001, CON-0002, ...</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Client</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Foreign key</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Link to Clients module</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Contract type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Static, Mobile Patrol, Event-based, Reliever Pool</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Start date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End date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Triggers 90/60/30 day alerts</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Number of guards</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Number</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For static deployments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Shift pattern</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Day, Night, Both, Custom</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Rate per guard / month</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Currency</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Billing basis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Allowed leaves / month</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Number</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Inherited to employees of this contract</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EOBI deduction</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Boolean + amount</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Per-employee EOBI billed to client or absorbed</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Escalation %</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Number</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Annual rate increase if defined</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Auto-invoice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Boolean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Generates monthly invoice on the 1st</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Renewal terms</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Free text for special clauses</w:t>
            </w:r>
          </w:p>
        </w:tc>
      </w:tr>
    </w:tbl>
    <w:p>
      <w:pPr>
        <w:pStyle w:val="Heading2"/>
        <w:spacing w:after="100" w:before="280"/>
      </w:pPr>
      <w:r>
        <w:rPr>
          <w:rFonts w:ascii="Calibri" w:cs="Calibri" w:eastAsia="Calibri" w:hAnsi="Calibri"/>
          <w:b/>
          <w:bCs/>
          <w:color w:val="0F172A"/>
          <w:sz w:val="28"/>
          <w:szCs w:val="28"/>
        </w:rPr>
        <w:t xml:space="preserve">3.3 Employees</w:t>
      </w:r>
    </w:p>
    <w:p>
      <w:pPr>
        <w:spacing w:after="120" w:before="0" w:line="300"/>
        <w:jc w:val="left"/>
      </w:pPr>
      <w:r>
        <w:rPr>
          <w:rFonts w:ascii="Calibri" w:cs="Calibri" w:eastAsia="Calibri" w:hAnsi="Calibri"/>
          <w:b w:val="false"/>
          <w:bCs w:val="false"/>
          <w:i w:val="false"/>
          <w:iCs w:val="false"/>
          <w:color w:val="334155"/>
          <w:sz w:val="22"/>
          <w:szCs w:val="22"/>
        </w:rPr>
        <w:t xml:space="preserve">Form is currently flat with around 12 fields. Needs to expand to roughly 25 to be HR-compliant in Pakistan, but must be organised into collapsible sections so it does not overwhelm.</w:t>
      </w:r>
    </w:p>
    <w:p>
      <w:pPr>
        <w:pStyle w:val="Heading3"/>
        <w:spacing w:after="80" w:before="220"/>
      </w:pPr>
      <w:r>
        <w:rPr>
          <w:rFonts w:ascii="Calibri" w:cs="Calibri" w:eastAsia="Calibri" w:hAnsi="Calibri"/>
          <w:b/>
          <w:bCs/>
          <w:color w:val="DC2626"/>
          <w:sz w:val="24"/>
          <w:szCs w:val="24"/>
        </w:rPr>
        <w:t xml:space="preserve">Recommended form sections</w:t>
      </w:r>
    </w:p>
    <w:p>
      <w:pPr>
        <w:pStyle w:val="ListParagraph"/>
        <w:numPr>
          <w:ilvl w:val="0"/>
          <w:numId w:val="2"/>
        </w:numPr>
        <w:spacing w:after="80" w:line="290"/>
      </w:pPr>
      <w:r>
        <w:rPr>
          <w:rFonts w:ascii="Calibri" w:cs="Calibri" w:eastAsia="Calibri" w:hAnsi="Calibri"/>
          <w:b/>
          <w:bCs/>
          <w:color w:val="0F172A"/>
          <w:sz w:val="22"/>
          <w:szCs w:val="22"/>
        </w:rPr>
        <w:t xml:space="preserve">Section 1:</w:t>
      </w:r>
      <w:r>
        <w:rPr>
          <w:rFonts w:ascii="Calibri" w:cs="Calibri" w:eastAsia="Calibri" w:hAnsi="Calibri"/>
          <w:color w:val="334155"/>
          <w:sz w:val="22"/>
          <w:szCs w:val="22"/>
        </w:rPr>
        <w:t xml:space="preserve"> Basic Information (default expanded).</w:t>
      </w:r>
    </w:p>
    <w:p>
      <w:pPr>
        <w:pStyle w:val="ListParagraph"/>
        <w:numPr>
          <w:ilvl w:val="0"/>
          <w:numId w:val="2"/>
        </w:numPr>
        <w:spacing w:after="80" w:line="290"/>
      </w:pPr>
      <w:r>
        <w:rPr>
          <w:rFonts w:ascii="Calibri" w:cs="Calibri" w:eastAsia="Calibri" w:hAnsi="Calibri"/>
          <w:b/>
          <w:bCs/>
          <w:color w:val="0F172A"/>
          <w:sz w:val="22"/>
          <w:szCs w:val="22"/>
        </w:rPr>
        <w:t xml:space="preserve">Section 2:</w:t>
      </w:r>
      <w:r>
        <w:rPr>
          <w:rFonts w:ascii="Calibri" w:cs="Calibri" w:eastAsia="Calibri" w:hAnsi="Calibri"/>
          <w:color w:val="334155"/>
          <w:sz w:val="22"/>
          <w:szCs w:val="22"/>
        </w:rPr>
        <w:t xml:space="preserve"> Address &amp; Emergency Contact.</w:t>
      </w:r>
    </w:p>
    <w:p>
      <w:pPr>
        <w:pStyle w:val="ListParagraph"/>
        <w:numPr>
          <w:ilvl w:val="0"/>
          <w:numId w:val="2"/>
        </w:numPr>
        <w:spacing w:after="80" w:line="290"/>
      </w:pPr>
      <w:r>
        <w:rPr>
          <w:rFonts w:ascii="Calibri" w:cs="Calibri" w:eastAsia="Calibri" w:hAnsi="Calibri"/>
          <w:b/>
          <w:bCs/>
          <w:color w:val="0F172A"/>
          <w:sz w:val="22"/>
          <w:szCs w:val="22"/>
        </w:rPr>
        <w:t xml:space="preserve">Section 3:</w:t>
      </w:r>
      <w:r>
        <w:rPr>
          <w:rFonts w:ascii="Calibri" w:cs="Calibri" w:eastAsia="Calibri" w:hAnsi="Calibri"/>
          <w:color w:val="334155"/>
          <w:sz w:val="22"/>
          <w:szCs w:val="22"/>
        </w:rPr>
        <w:t xml:space="preserve"> Employment Details.</w:t>
      </w:r>
    </w:p>
    <w:p>
      <w:pPr>
        <w:pStyle w:val="ListParagraph"/>
        <w:numPr>
          <w:ilvl w:val="0"/>
          <w:numId w:val="2"/>
        </w:numPr>
        <w:spacing w:after="80" w:line="290"/>
      </w:pPr>
      <w:r>
        <w:rPr>
          <w:rFonts w:ascii="Calibri" w:cs="Calibri" w:eastAsia="Calibri" w:hAnsi="Calibri"/>
          <w:b/>
          <w:bCs/>
          <w:color w:val="0F172A"/>
          <w:sz w:val="22"/>
          <w:szCs w:val="22"/>
        </w:rPr>
        <w:t xml:space="preserve">Section 4:</w:t>
      </w:r>
      <w:r>
        <w:rPr>
          <w:rFonts w:ascii="Calibri" w:cs="Calibri" w:eastAsia="Calibri" w:hAnsi="Calibri"/>
          <w:color w:val="334155"/>
          <w:sz w:val="22"/>
          <w:szCs w:val="22"/>
        </w:rPr>
        <w:t xml:space="preserve"> Compensation &amp; Bank.</w:t>
      </w:r>
    </w:p>
    <w:p>
      <w:pPr>
        <w:pStyle w:val="ListParagraph"/>
        <w:numPr>
          <w:ilvl w:val="0"/>
          <w:numId w:val="2"/>
        </w:numPr>
        <w:spacing w:after="80" w:line="290"/>
      </w:pPr>
      <w:r>
        <w:rPr>
          <w:rFonts w:ascii="Calibri" w:cs="Calibri" w:eastAsia="Calibri" w:hAnsi="Calibri"/>
          <w:b/>
          <w:bCs/>
          <w:color w:val="0F172A"/>
          <w:sz w:val="22"/>
          <w:szCs w:val="22"/>
        </w:rPr>
        <w:t xml:space="preserve">Section 5:</w:t>
      </w:r>
      <w:r>
        <w:rPr>
          <w:rFonts w:ascii="Calibri" w:cs="Calibri" w:eastAsia="Calibri" w:hAnsi="Calibri"/>
          <w:color w:val="334155"/>
          <w:sz w:val="22"/>
          <w:szCs w:val="22"/>
        </w:rPr>
        <w:t xml:space="preserve"> Licences &amp; Compliance.</w:t>
      </w:r>
    </w:p>
    <w:p>
      <w:pPr>
        <w:pStyle w:val="ListParagraph"/>
        <w:numPr>
          <w:ilvl w:val="0"/>
          <w:numId w:val="2"/>
        </w:numPr>
        <w:spacing w:after="80" w:line="290"/>
      </w:pPr>
      <w:r>
        <w:rPr>
          <w:rFonts w:ascii="Calibri" w:cs="Calibri" w:eastAsia="Calibri" w:hAnsi="Calibri"/>
          <w:b/>
          <w:bCs/>
          <w:color w:val="0F172A"/>
          <w:sz w:val="22"/>
          <w:szCs w:val="22"/>
        </w:rPr>
        <w:t xml:space="preserve">Section 6:</w:t>
      </w:r>
      <w:r>
        <w:rPr>
          <w:rFonts w:ascii="Calibri" w:cs="Calibri" w:eastAsia="Calibri" w:hAnsi="Calibri"/>
          <w:color w:val="334155"/>
          <w:sz w:val="22"/>
          <w:szCs w:val="22"/>
        </w:rPr>
        <w:t xml:space="preserve"> Documents.</w:t>
      </w:r>
    </w:p>
    <w:p>
      <w:pPr>
        <w:pStyle w:val="Heading3"/>
        <w:spacing w:after="80" w:before="220"/>
      </w:pPr>
      <w:r>
        <w:rPr>
          <w:rFonts w:ascii="Calibri" w:cs="Calibri" w:eastAsia="Calibri" w:hAnsi="Calibri"/>
          <w:b/>
          <w:bCs/>
          <w:color w:val="DC2626"/>
          <w:sz w:val="24"/>
          <w:szCs w:val="24"/>
        </w:rPr>
        <w:t xml:space="preserve">Missing fields to add</w:t>
      </w:r>
    </w:p>
    <w:p>
      <w:pPr>
        <w:pStyle w:val="ListParagraph"/>
        <w:numPr>
          <w:ilvl w:val="0"/>
          <w:numId w:val="2"/>
        </w:numPr>
        <w:spacing w:after="80" w:line="290"/>
      </w:pPr>
      <w:r>
        <w:rPr>
          <w:rFonts w:ascii="Calibri" w:cs="Calibri" w:eastAsia="Calibri" w:hAnsi="Calibri"/>
          <w:color w:val="334155"/>
          <w:sz w:val="22"/>
          <w:szCs w:val="22"/>
        </w:rPr>
        <w:t xml:space="preserve">CNIC Number (the actual number, separate from the CNIC document upload).</w:t>
      </w:r>
    </w:p>
    <w:p>
      <w:pPr>
        <w:pStyle w:val="ListParagraph"/>
        <w:numPr>
          <w:ilvl w:val="0"/>
          <w:numId w:val="2"/>
        </w:numPr>
        <w:spacing w:after="80" w:line="290"/>
      </w:pPr>
      <w:r>
        <w:rPr>
          <w:rFonts w:ascii="Calibri" w:cs="Calibri" w:eastAsia="Calibri" w:hAnsi="Calibri"/>
          <w:color w:val="334155"/>
          <w:sz w:val="22"/>
          <w:szCs w:val="22"/>
        </w:rPr>
        <w:t xml:space="preserve">Date of Birth.</w:t>
      </w:r>
    </w:p>
    <w:p>
      <w:pPr>
        <w:pStyle w:val="ListParagraph"/>
        <w:numPr>
          <w:ilvl w:val="0"/>
          <w:numId w:val="2"/>
        </w:numPr>
        <w:spacing w:after="80" w:line="290"/>
      </w:pPr>
      <w:r>
        <w:rPr>
          <w:rFonts w:ascii="Calibri" w:cs="Calibri" w:eastAsia="Calibri" w:hAnsi="Calibri"/>
          <w:color w:val="334155"/>
          <w:sz w:val="22"/>
          <w:szCs w:val="22"/>
        </w:rPr>
        <w:t xml:space="preserve">Father's / Husband's Name.</w:t>
      </w:r>
    </w:p>
    <w:p>
      <w:pPr>
        <w:pStyle w:val="ListParagraph"/>
        <w:numPr>
          <w:ilvl w:val="0"/>
          <w:numId w:val="2"/>
        </w:numPr>
        <w:spacing w:after="80" w:line="290"/>
      </w:pPr>
      <w:r>
        <w:rPr>
          <w:rFonts w:ascii="Calibri" w:cs="Calibri" w:eastAsia="Calibri" w:hAnsi="Calibri"/>
          <w:color w:val="334155"/>
          <w:sz w:val="22"/>
          <w:szCs w:val="22"/>
        </w:rPr>
        <w:t xml:space="preserve">Emergency Contact name, relation, and phone.</w:t>
      </w:r>
    </w:p>
    <w:p>
      <w:pPr>
        <w:pStyle w:val="ListParagraph"/>
        <w:numPr>
          <w:ilvl w:val="0"/>
          <w:numId w:val="2"/>
        </w:numPr>
        <w:spacing w:after="80" w:line="290"/>
      </w:pPr>
      <w:r>
        <w:rPr>
          <w:rFonts w:ascii="Calibri" w:cs="Calibri" w:eastAsia="Calibri" w:hAnsi="Calibri"/>
          <w:color w:val="334155"/>
          <w:sz w:val="22"/>
          <w:szCs w:val="22"/>
        </w:rPr>
        <w:t xml:space="preserve">Permanent Address and Current Address (separate fields).</w:t>
      </w:r>
    </w:p>
    <w:p>
      <w:pPr>
        <w:pStyle w:val="ListParagraph"/>
        <w:numPr>
          <w:ilvl w:val="0"/>
          <w:numId w:val="2"/>
        </w:numPr>
        <w:spacing w:after="80" w:line="290"/>
      </w:pPr>
      <w:r>
        <w:rPr>
          <w:rFonts w:ascii="Calibri" w:cs="Calibri" w:eastAsia="Calibri" w:hAnsi="Calibri"/>
          <w:color w:val="334155"/>
          <w:sz w:val="22"/>
          <w:szCs w:val="22"/>
        </w:rPr>
        <w:t xml:space="preserve">Blood Group.</w:t>
      </w:r>
    </w:p>
    <w:p>
      <w:pPr>
        <w:pStyle w:val="ListParagraph"/>
        <w:numPr>
          <w:ilvl w:val="0"/>
          <w:numId w:val="2"/>
        </w:numPr>
        <w:spacing w:after="80" w:line="290"/>
      </w:pPr>
      <w:r>
        <w:rPr>
          <w:rFonts w:ascii="Calibri" w:cs="Calibri" w:eastAsia="Calibri" w:hAnsi="Calibri"/>
          <w:color w:val="334155"/>
          <w:sz w:val="22"/>
          <w:szCs w:val="22"/>
        </w:rPr>
        <w:t xml:space="preserve">Weapon Licence Number + Expiry Date.</w:t>
      </w:r>
    </w:p>
    <w:p>
      <w:pPr>
        <w:pStyle w:val="ListParagraph"/>
        <w:numPr>
          <w:ilvl w:val="0"/>
          <w:numId w:val="2"/>
        </w:numPr>
        <w:spacing w:after="80" w:line="290"/>
      </w:pPr>
      <w:r>
        <w:rPr>
          <w:rFonts w:ascii="Calibri" w:cs="Calibri" w:eastAsia="Calibri" w:hAnsi="Calibri"/>
          <w:color w:val="334155"/>
          <w:sz w:val="22"/>
          <w:szCs w:val="22"/>
        </w:rPr>
        <w:t xml:space="preserve">Guard Service Licence Number + Expiry Date.</w:t>
      </w:r>
    </w:p>
    <w:p>
      <w:pPr>
        <w:pStyle w:val="ListParagraph"/>
        <w:numPr>
          <w:ilvl w:val="0"/>
          <w:numId w:val="2"/>
        </w:numPr>
        <w:spacing w:after="80" w:line="290"/>
      </w:pPr>
      <w:r>
        <w:rPr>
          <w:rFonts w:ascii="Calibri" w:cs="Calibri" w:eastAsia="Calibri" w:hAnsi="Calibri"/>
          <w:color w:val="334155"/>
          <w:sz w:val="22"/>
          <w:szCs w:val="22"/>
        </w:rPr>
        <w:t xml:space="preserve">Medical Fitness Certificate + Expiry Date.</w:t>
      </w:r>
    </w:p>
    <w:p>
      <w:pPr>
        <w:pStyle w:val="ListParagraph"/>
        <w:numPr>
          <w:ilvl w:val="0"/>
          <w:numId w:val="2"/>
        </w:numPr>
        <w:spacing w:after="80" w:line="290"/>
      </w:pPr>
      <w:r>
        <w:rPr>
          <w:rFonts w:ascii="Calibri" w:cs="Calibri" w:eastAsia="Calibri" w:hAnsi="Calibri"/>
          <w:color w:val="334155"/>
          <w:sz w:val="22"/>
          <w:szCs w:val="22"/>
        </w:rPr>
        <w:t xml:space="preserve">EOBI Registration Number (once issued).</w:t>
      </w:r>
    </w:p>
    <w:p>
      <w:pPr>
        <w:pStyle w:val="ListParagraph"/>
        <w:numPr>
          <w:ilvl w:val="0"/>
          <w:numId w:val="2"/>
        </w:numPr>
        <w:spacing w:after="80" w:line="290"/>
      </w:pPr>
      <w:r>
        <w:rPr>
          <w:rFonts w:ascii="Calibri" w:cs="Calibri" w:eastAsia="Calibri" w:hAnsi="Calibri"/>
          <w:color w:val="334155"/>
          <w:sz w:val="22"/>
          <w:szCs w:val="22"/>
        </w:rPr>
        <w:t xml:space="preserve">Reporting To (Supervisor Employee ID).</w:t>
      </w:r>
    </w:p>
    <w:p>
      <w:pPr>
        <w:pStyle w:val="ListParagraph"/>
        <w:numPr>
          <w:ilvl w:val="0"/>
          <w:numId w:val="2"/>
        </w:numPr>
        <w:spacing w:after="80" w:line="290"/>
      </w:pPr>
      <w:r>
        <w:rPr>
          <w:rFonts w:ascii="Calibri" w:cs="Calibri" w:eastAsia="Calibri" w:hAnsi="Calibri"/>
          <w:color w:val="334155"/>
          <w:sz w:val="22"/>
          <w:szCs w:val="22"/>
        </w:rPr>
        <w:t xml:space="preserve">Contract Type (Permanent, Contract, Probation, Daily Wages).</w:t>
      </w:r>
    </w:p>
    <w:p>
      <w:pPr>
        <w:pStyle w:val="ListParagraph"/>
        <w:numPr>
          <w:ilvl w:val="0"/>
          <w:numId w:val="2"/>
        </w:numPr>
        <w:spacing w:after="80" w:line="290"/>
      </w:pPr>
      <w:r>
        <w:rPr>
          <w:rFonts w:ascii="Calibri" w:cs="Calibri" w:eastAsia="Calibri" w:hAnsi="Calibri"/>
          <w:color w:val="334155"/>
          <w:sz w:val="22"/>
          <w:szCs w:val="22"/>
        </w:rPr>
        <w:t xml:space="preserve">Probation End Date.</w:t>
      </w:r>
    </w:p>
    <w:p>
      <w:pPr>
        <w:pStyle w:val="Heading3"/>
        <w:spacing w:after="80" w:before="220"/>
      </w:pPr>
      <w:r>
        <w:rPr>
          <w:rFonts w:ascii="Calibri" w:cs="Calibri" w:eastAsia="Calibri" w:hAnsi="Calibri"/>
          <w:b/>
          <w:bCs/>
          <w:color w:val="DC2626"/>
          <w:sz w:val="24"/>
          <w:szCs w:val="24"/>
        </w:rPr>
        <w:t xml:space="preserve">Fixes to existing fields</w:t>
      </w:r>
    </w:p>
    <w:p>
      <w:pPr>
        <w:pStyle w:val="ListParagraph"/>
        <w:numPr>
          <w:ilvl w:val="0"/>
          <w:numId w:val="2"/>
        </w:numPr>
        <w:spacing w:after="80" w:line="290"/>
      </w:pPr>
      <w:r>
        <w:rPr>
          <w:rFonts w:ascii="Calibri" w:cs="Calibri" w:eastAsia="Calibri" w:hAnsi="Calibri"/>
          <w:b/>
          <w:bCs/>
          <w:color w:val="0F172A"/>
          <w:sz w:val="22"/>
          <w:szCs w:val="22"/>
        </w:rPr>
        <w:t xml:space="preserve">Department:</w:t>
      </w:r>
      <w:r>
        <w:rPr>
          <w:rFonts w:ascii="Calibri" w:cs="Calibri" w:eastAsia="Calibri" w:hAnsi="Calibri"/>
          <w:color w:val="334155"/>
          <w:sz w:val="22"/>
          <w:szCs w:val="22"/>
        </w:rPr>
        <w:t xml:space="preserve"> Make "Department" a configurable dropdown, not free text.</w:t>
      </w:r>
    </w:p>
    <w:p>
      <w:pPr>
        <w:pStyle w:val="ListParagraph"/>
        <w:numPr>
          <w:ilvl w:val="0"/>
          <w:numId w:val="2"/>
        </w:numPr>
        <w:spacing w:after="80" w:line="290"/>
      </w:pPr>
      <w:r>
        <w:rPr>
          <w:rFonts w:ascii="Calibri" w:cs="Calibri" w:eastAsia="Calibri" w:hAnsi="Calibri"/>
          <w:b/>
          <w:bCs/>
          <w:color w:val="0F172A"/>
          <w:sz w:val="22"/>
          <w:szCs w:val="22"/>
        </w:rPr>
        <w:t xml:space="preserve">Bank Name:</w:t>
      </w:r>
      <w:r>
        <w:rPr>
          <w:rFonts w:ascii="Calibri" w:cs="Calibri" w:eastAsia="Calibri" w:hAnsi="Calibri"/>
          <w:color w:val="334155"/>
          <w:sz w:val="22"/>
          <w:szCs w:val="22"/>
        </w:rPr>
        <w:t xml:space="preserve"> Make "Bank Name" a dropdown of registered Pakistani banks.</w:t>
      </w:r>
    </w:p>
    <w:p>
      <w:pPr>
        <w:pStyle w:val="ListParagraph"/>
        <w:numPr>
          <w:ilvl w:val="0"/>
          <w:numId w:val="2"/>
        </w:numPr>
        <w:spacing w:after="80" w:line="290"/>
      </w:pPr>
      <w:r>
        <w:rPr>
          <w:rFonts w:ascii="Calibri" w:cs="Calibri" w:eastAsia="Calibri" w:hAnsi="Calibri"/>
          <w:b/>
          <w:bCs/>
          <w:color w:val="0F172A"/>
          <w:sz w:val="22"/>
          <w:szCs w:val="22"/>
        </w:rPr>
        <w:t xml:space="preserve">IBAN:</w:t>
      </w:r>
      <w:r>
        <w:rPr>
          <w:rFonts w:ascii="Calibri" w:cs="Calibri" w:eastAsia="Calibri" w:hAnsi="Calibri"/>
          <w:color w:val="334155"/>
          <w:sz w:val="22"/>
          <w:szCs w:val="22"/>
        </w:rPr>
        <w:t xml:space="preserve"> Rename current "Bank Account Number" field to "IBAN" with PK-format validation (24 chars). Add a separate "Bank Branch Code" field if needed.</w:t>
      </w:r>
    </w:p>
    <w:p>
      <w:pPr>
        <w:pStyle w:val="ListParagraph"/>
        <w:numPr>
          <w:ilvl w:val="0"/>
          <w:numId w:val="2"/>
        </w:numPr>
        <w:spacing w:after="80" w:line="290"/>
      </w:pPr>
      <w:r>
        <w:rPr>
          <w:rFonts w:ascii="Calibri" w:cs="Calibri" w:eastAsia="Calibri" w:hAnsi="Calibri"/>
          <w:b/>
          <w:bCs/>
          <w:color w:val="0F172A"/>
          <w:sz w:val="22"/>
          <w:szCs w:val="22"/>
        </w:rPr>
        <w:t xml:space="preserve">Employee Type:</w:t>
      </w:r>
      <w:r>
        <w:rPr>
          <w:rFonts w:ascii="Calibri" w:cs="Calibri" w:eastAsia="Calibri" w:hAnsi="Calibri"/>
          <w:color w:val="334155"/>
          <w:sz w:val="22"/>
          <w:szCs w:val="22"/>
        </w:rPr>
        <w:t xml:space="preserve"> Rename "Category" to "Employee Type" with clear options: Guard, Supervisor, Office Staff, Reliever.</w:t>
      </w:r>
    </w:p>
    <w:p>
      <w:pPr>
        <w:pStyle w:val="Heading2"/>
        <w:spacing w:after="100" w:before="280"/>
      </w:pPr>
      <w:r>
        <w:rPr>
          <w:rFonts w:ascii="Calibri" w:cs="Calibri" w:eastAsia="Calibri" w:hAnsi="Calibri"/>
          <w:b/>
          <w:bCs/>
          <w:color w:val="0F172A"/>
          <w:sz w:val="28"/>
          <w:szCs w:val="28"/>
        </w:rPr>
        <w:t xml:space="preserve">3.4 Attendance vs Deployment Roster</w:t>
      </w:r>
    </w:p>
    <w:p>
      <w:pPr>
        <w:spacing w:after="120" w:before="0" w:line="300"/>
        <w:jc w:val="left"/>
      </w:pPr>
      <w:r>
        <w:rPr>
          <w:rFonts w:ascii="Calibri" w:cs="Calibri" w:eastAsia="Calibri" w:hAnsi="Calibri"/>
          <w:b w:val="false"/>
          <w:bCs w:val="false"/>
          <w:i w:val="false"/>
          <w:iCs w:val="false"/>
          <w:color w:val="334155"/>
          <w:sz w:val="22"/>
          <w:szCs w:val="22"/>
        </w:rPr>
        <w:t xml:space="preserve">Current Attendance module is reactive: mark what happened today. Build a separate proactive Deployment Roster: plan what should happen next week.</w:t>
      </w:r>
    </w:p>
    <w:p>
      <w:pPr>
        <w:spacing w:after="120" w:before="0" w:line="300"/>
        <w:jc w:val="left"/>
      </w:pPr>
      <w:r>
        <w:rPr>
          <w:rFonts w:ascii="Calibri" w:cs="Calibri" w:eastAsia="Calibri" w:hAnsi="Calibri"/>
          <w:b w:val="false"/>
          <w:bCs w:val="false"/>
          <w:i w:val="false"/>
          <w:iCs w:val="false"/>
          <w:color w:val="334155"/>
          <w:sz w:val="22"/>
          <w:szCs w:val="22"/>
        </w:rPr>
        <w:t xml:space="preserve">These are different jobs serving different users at different times. Conflating them is a common mistake in security CRMs.</w:t>
      </w:r>
    </w:p>
    <w:p>
      <w:pPr>
        <w:pStyle w:val="Heading3"/>
        <w:spacing w:after="80" w:before="220"/>
      </w:pPr>
      <w:r>
        <w:rPr>
          <w:rFonts w:ascii="Calibri" w:cs="Calibri" w:eastAsia="Calibri" w:hAnsi="Calibri"/>
          <w:b/>
          <w:bCs/>
          <w:color w:val="DC2626"/>
          <w:sz w:val="24"/>
          <w:szCs w:val="24"/>
        </w:rPr>
        <w:t xml:space="preserve">Attendance module — keep as is, with these additions</w:t>
      </w:r>
    </w:p>
    <w:p>
      <w:pPr>
        <w:pStyle w:val="ListParagraph"/>
        <w:numPr>
          <w:ilvl w:val="0"/>
          <w:numId w:val="2"/>
        </w:numPr>
        <w:spacing w:after="80" w:line="290"/>
      </w:pPr>
      <w:r>
        <w:rPr>
          <w:rFonts w:ascii="Calibri" w:cs="Calibri" w:eastAsia="Calibri" w:hAnsi="Calibri"/>
          <w:color w:val="334155"/>
          <w:sz w:val="22"/>
          <w:szCs w:val="22"/>
        </w:rPr>
        <w:t xml:space="preserve">Half-day option (with hours worked).</w:t>
      </w:r>
    </w:p>
    <w:p>
      <w:pPr>
        <w:pStyle w:val="ListParagraph"/>
        <w:numPr>
          <w:ilvl w:val="0"/>
          <w:numId w:val="2"/>
        </w:numPr>
        <w:spacing w:after="80" w:line="290"/>
      </w:pPr>
      <w:r>
        <w:rPr>
          <w:rFonts w:ascii="Calibri" w:cs="Calibri" w:eastAsia="Calibri" w:hAnsi="Calibri"/>
          <w:color w:val="334155"/>
          <w:sz w:val="22"/>
          <w:szCs w:val="22"/>
        </w:rPr>
        <w:t xml:space="preserve">Late arrival marker (does not block Present, just flags it).</w:t>
      </w:r>
    </w:p>
    <w:p>
      <w:pPr>
        <w:pStyle w:val="ListParagraph"/>
        <w:numPr>
          <w:ilvl w:val="0"/>
          <w:numId w:val="2"/>
        </w:numPr>
        <w:spacing w:after="80" w:line="290"/>
      </w:pPr>
      <w:r>
        <w:rPr>
          <w:rFonts w:ascii="Calibri" w:cs="Calibri" w:eastAsia="Calibri" w:hAnsi="Calibri"/>
          <w:color w:val="334155"/>
          <w:sz w:val="22"/>
          <w:szCs w:val="22"/>
        </w:rPr>
        <w:t xml:space="preserve">Overtime hours per day, per employee.</w:t>
      </w:r>
    </w:p>
    <w:p>
      <w:pPr>
        <w:pStyle w:val="ListParagraph"/>
        <w:numPr>
          <w:ilvl w:val="0"/>
          <w:numId w:val="2"/>
        </w:numPr>
        <w:spacing w:after="80" w:line="290"/>
      </w:pPr>
      <w:r>
        <w:rPr>
          <w:rFonts w:ascii="Calibri" w:cs="Calibri" w:eastAsia="Calibri" w:hAnsi="Calibri"/>
          <w:color w:val="334155"/>
          <w:sz w:val="22"/>
          <w:szCs w:val="22"/>
        </w:rPr>
        <w:t xml:space="preserve">Bulk-mark by location (mark all guards at one site as Present in one action).</w:t>
      </w:r>
    </w:p>
    <w:p>
      <w:pPr>
        <w:pStyle w:val="Heading3"/>
        <w:spacing w:after="80" w:before="220"/>
      </w:pPr>
      <w:r>
        <w:rPr>
          <w:rFonts w:ascii="Calibri" w:cs="Calibri" w:eastAsia="Calibri" w:hAnsi="Calibri"/>
          <w:b/>
          <w:bCs/>
          <w:color w:val="DC2626"/>
          <w:sz w:val="24"/>
          <w:szCs w:val="24"/>
        </w:rPr>
        <w:t xml:space="preserve">Deployment Roster — new module</w:t>
      </w:r>
    </w:p>
    <w:p>
      <w:pPr>
        <w:pStyle w:val="ListParagraph"/>
        <w:numPr>
          <w:ilvl w:val="0"/>
          <w:numId w:val="2"/>
        </w:numPr>
        <w:spacing w:after="80" w:line="290"/>
      </w:pPr>
      <w:r>
        <w:rPr>
          <w:rFonts w:ascii="Calibri" w:cs="Calibri" w:eastAsia="Calibri" w:hAnsi="Calibri"/>
          <w:color w:val="334155"/>
          <w:sz w:val="22"/>
          <w:szCs w:val="22"/>
        </w:rPr>
        <w:t xml:space="preserve">Grid view: rows are guards, columns are dates (7, 14, or 30 days ahead).</w:t>
      </w:r>
    </w:p>
    <w:p>
      <w:pPr>
        <w:pStyle w:val="ListParagraph"/>
        <w:numPr>
          <w:ilvl w:val="0"/>
          <w:numId w:val="2"/>
        </w:numPr>
        <w:spacing w:after="80" w:line="290"/>
      </w:pPr>
      <w:r>
        <w:rPr>
          <w:rFonts w:ascii="Calibri" w:cs="Calibri" w:eastAsia="Calibri" w:hAnsi="Calibri"/>
          <w:color w:val="334155"/>
          <w:sz w:val="22"/>
          <w:szCs w:val="22"/>
        </w:rPr>
        <w:t xml:space="preserve">Each cell shows: assigned post, shift, status (Assigned / Confirmed / Leave Requested / Reliever Needed).</w:t>
      </w:r>
    </w:p>
    <w:p>
      <w:pPr>
        <w:pStyle w:val="ListParagraph"/>
        <w:numPr>
          <w:ilvl w:val="0"/>
          <w:numId w:val="2"/>
        </w:numPr>
        <w:spacing w:after="80" w:line="290"/>
      </w:pPr>
      <w:r>
        <w:rPr>
          <w:rFonts w:ascii="Calibri" w:cs="Calibri" w:eastAsia="Calibri" w:hAnsi="Calibri"/>
          <w:color w:val="334155"/>
          <w:sz w:val="22"/>
          <w:szCs w:val="22"/>
        </w:rPr>
        <w:t xml:space="preserve">Gaps highlighted in red. Drag-and-drop reassignment.</w:t>
      </w:r>
    </w:p>
    <w:p>
      <w:pPr>
        <w:pStyle w:val="ListParagraph"/>
        <w:numPr>
          <w:ilvl w:val="0"/>
          <w:numId w:val="2"/>
        </w:numPr>
        <w:spacing w:after="80" w:line="290"/>
      </w:pPr>
      <w:r>
        <w:rPr>
          <w:rFonts w:ascii="Calibri" w:cs="Calibri" w:eastAsia="Calibri" w:hAnsi="Calibri"/>
          <w:color w:val="334155"/>
          <w:sz w:val="22"/>
          <w:szCs w:val="22"/>
        </w:rPr>
        <w:t xml:space="preserve">Export to PDF for handover sheets given to supervisors.</w:t>
      </w:r>
    </w:p>
    <w:p>
      <w:pPr>
        <w:pStyle w:val="Heading2"/>
        <w:spacing w:after="100" w:before="280"/>
      </w:pPr>
      <w:r>
        <w:rPr>
          <w:rFonts w:ascii="Calibri" w:cs="Calibri" w:eastAsia="Calibri" w:hAnsi="Calibri"/>
          <w:b/>
          <w:bCs/>
          <w:color w:val="0F172A"/>
          <w:sz w:val="28"/>
          <w:szCs w:val="28"/>
        </w:rPr>
        <w:t xml:space="preserve">3.5 Banks &amp; Ledgers (was: Accounting)</w:t>
      </w:r>
    </w:p>
    <w:p>
      <w:pPr>
        <w:spacing w:after="120" w:before="0" w:line="300"/>
        <w:jc w:val="left"/>
      </w:pPr>
      <w:r>
        <w:rPr>
          <w:rFonts w:ascii="Calibri" w:cs="Calibri" w:eastAsia="Calibri" w:hAnsi="Calibri"/>
          <w:b w:val="false"/>
          <w:bCs w:val="false"/>
          <w:i w:val="false"/>
          <w:iCs w:val="false"/>
          <w:color w:val="334155"/>
          <w:sz w:val="22"/>
          <w:szCs w:val="22"/>
        </w:rPr>
        <w:t xml:space="preserve">The cheque tracking and transaction log are strong. Naming and labels need cleanup.</w:t>
      </w:r>
    </w:p>
    <w:p>
      <w:pPr>
        <w:pStyle w:val="Heading3"/>
        <w:spacing w:after="80" w:before="220"/>
      </w:pPr>
      <w:r>
        <w:rPr>
          <w:rFonts w:ascii="Calibri" w:cs="Calibri" w:eastAsia="Calibri" w:hAnsi="Calibri"/>
          <w:b/>
          <w:bCs/>
          <w:color w:val="DC2626"/>
          <w:sz w:val="24"/>
          <w:szCs w:val="24"/>
        </w:rPr>
        <w:t xml:space="preserve">Label changes</w:t>
      </w:r>
    </w:p>
    <w:p>
      <w:pPr>
        <w:pStyle w:val="ListParagraph"/>
        <w:numPr>
          <w:ilvl w:val="0"/>
          <w:numId w:val="2"/>
        </w:numPr>
        <w:spacing w:after="80" w:line="290"/>
      </w:pPr>
      <w:r>
        <w:rPr>
          <w:rFonts w:ascii="Calibri" w:cs="Calibri" w:eastAsia="Calibri" w:hAnsi="Calibri"/>
          <w:color w:val="334155"/>
          <w:sz w:val="22"/>
          <w:szCs w:val="22"/>
        </w:rPr>
        <w:t xml:space="preserve">"Cash Balance (Treasury)" should be "Cash in Hand."</w:t>
      </w:r>
    </w:p>
    <w:p>
      <w:pPr>
        <w:pStyle w:val="ListParagraph"/>
        <w:numPr>
          <w:ilvl w:val="0"/>
          <w:numId w:val="2"/>
        </w:numPr>
        <w:spacing w:after="80" w:line="290"/>
      </w:pPr>
      <w:r>
        <w:rPr>
          <w:rFonts w:ascii="Calibri" w:cs="Calibri" w:eastAsia="Calibri" w:hAnsi="Calibri"/>
          <w:color w:val="334155"/>
          <w:sz w:val="22"/>
          <w:szCs w:val="22"/>
        </w:rPr>
        <w:t xml:space="preserve">"Total Account Balance" should be "Bank Balance."</w:t>
      </w:r>
    </w:p>
    <w:p>
      <w:pPr>
        <w:pStyle w:val="ListParagraph"/>
        <w:numPr>
          <w:ilvl w:val="0"/>
          <w:numId w:val="2"/>
        </w:numPr>
        <w:spacing w:after="80" w:line="290"/>
      </w:pPr>
      <w:r>
        <w:rPr>
          <w:rFonts w:ascii="Calibri" w:cs="Calibri" w:eastAsia="Calibri" w:hAnsi="Calibri"/>
          <w:color w:val="334155"/>
          <w:sz w:val="22"/>
          <w:szCs w:val="22"/>
        </w:rPr>
        <w:t xml:space="preserve">"Pending Cheques" should be "Cheques in Transit" (industry standard).</w:t>
      </w:r>
    </w:p>
    <w:p>
      <w:pPr>
        <w:pStyle w:val="ListParagraph"/>
        <w:numPr>
          <w:ilvl w:val="0"/>
          <w:numId w:val="2"/>
        </w:numPr>
        <w:spacing w:after="80" w:line="290"/>
      </w:pPr>
      <w:r>
        <w:rPr>
          <w:rFonts w:ascii="Calibri" w:cs="Calibri" w:eastAsia="Calibri" w:hAnsi="Calibri"/>
          <w:color w:val="334155"/>
          <w:sz w:val="22"/>
          <w:szCs w:val="22"/>
        </w:rPr>
        <w:t xml:space="preserve">"Total Balance" should be "Net Available Cash."</w:t>
      </w:r>
    </w:p>
    <w:p>
      <w:pPr>
        <w:pStyle w:val="Heading3"/>
        <w:spacing w:after="80" w:before="220"/>
      </w:pPr>
      <w:r>
        <w:rPr>
          <w:rFonts w:ascii="Calibri" w:cs="Calibri" w:eastAsia="Calibri" w:hAnsi="Calibri"/>
          <w:b/>
          <w:bCs/>
          <w:color w:val="DC2626"/>
          <w:sz w:val="24"/>
          <w:szCs w:val="24"/>
        </w:rPr>
        <w:t xml:space="preserve">Add Bank Account form additions</w:t>
      </w:r>
    </w:p>
    <w:p>
      <w:pPr>
        <w:pStyle w:val="ListParagraph"/>
        <w:numPr>
          <w:ilvl w:val="0"/>
          <w:numId w:val="2"/>
        </w:numPr>
        <w:spacing w:after="80" w:line="290"/>
      </w:pPr>
      <w:r>
        <w:rPr>
          <w:rFonts w:ascii="Calibri" w:cs="Calibri" w:eastAsia="Calibri" w:hAnsi="Calibri"/>
          <w:color w:val="334155"/>
          <w:sz w:val="22"/>
          <w:szCs w:val="22"/>
        </w:rPr>
        <w:t xml:space="preserve">IBAN (separate from Account Number).</w:t>
      </w:r>
    </w:p>
    <w:p>
      <w:pPr>
        <w:pStyle w:val="ListParagraph"/>
        <w:numPr>
          <w:ilvl w:val="0"/>
          <w:numId w:val="2"/>
        </w:numPr>
        <w:spacing w:after="80" w:line="290"/>
      </w:pPr>
      <w:r>
        <w:rPr>
          <w:rFonts w:ascii="Calibri" w:cs="Calibri" w:eastAsia="Calibri" w:hAnsi="Calibri"/>
          <w:color w:val="334155"/>
          <w:sz w:val="22"/>
          <w:szCs w:val="22"/>
        </w:rPr>
        <w:t xml:space="preserve">Branch Code and Branch Name.</w:t>
      </w:r>
    </w:p>
    <w:p>
      <w:pPr>
        <w:pStyle w:val="ListParagraph"/>
        <w:numPr>
          <w:ilvl w:val="0"/>
          <w:numId w:val="2"/>
        </w:numPr>
        <w:spacing w:after="80" w:line="290"/>
      </w:pPr>
      <w:r>
        <w:rPr>
          <w:rFonts w:ascii="Calibri" w:cs="Calibri" w:eastAsia="Calibri" w:hAnsi="Calibri"/>
          <w:color w:val="334155"/>
          <w:sz w:val="22"/>
          <w:szCs w:val="22"/>
        </w:rPr>
        <w:t xml:space="preserve">SWIFT code (for any future foreign transfers).</w:t>
      </w:r>
    </w:p>
    <w:p>
      <w:pPr>
        <w:pStyle w:val="ListParagraph"/>
        <w:numPr>
          <w:ilvl w:val="0"/>
          <w:numId w:val="2"/>
        </w:numPr>
        <w:spacing w:after="80" w:line="290"/>
      </w:pPr>
      <w:r>
        <w:rPr>
          <w:rFonts w:ascii="Calibri" w:cs="Calibri" w:eastAsia="Calibri" w:hAnsi="Calibri"/>
          <w:color w:val="334155"/>
          <w:sz w:val="22"/>
          <w:szCs w:val="22"/>
        </w:rPr>
        <w:t xml:space="preserve">Account currency (default PKR; design for future multi-currency).</w:t>
      </w:r>
    </w:p>
    <w:p>
      <w:pPr>
        <w:pStyle w:val="Heading2"/>
        <w:spacing w:after="100" w:before="280"/>
      </w:pPr>
      <w:r>
        <w:rPr>
          <w:rFonts w:ascii="Calibri" w:cs="Calibri" w:eastAsia="Calibri" w:hAnsi="Calibri"/>
          <w:b/>
          <w:bCs/>
          <w:color w:val="0F172A"/>
          <w:sz w:val="28"/>
          <w:szCs w:val="28"/>
        </w:rPr>
        <w:t xml:space="preserve">3.6 Financial Reports — Profit &amp; Loss</w:t>
      </w:r>
    </w:p>
    <w:p>
      <w:pPr>
        <w:spacing w:after="120" w:before="0" w:line="300"/>
        <w:jc w:val="left"/>
      </w:pPr>
      <w:r>
        <w:rPr>
          <w:rFonts w:ascii="Calibri" w:cs="Calibri" w:eastAsia="Calibri" w:hAnsi="Calibri"/>
          <w:b w:val="false"/>
          <w:bCs w:val="false"/>
          <w:i w:val="false"/>
          <w:iCs w:val="false"/>
          <w:color w:val="334155"/>
          <w:sz w:val="22"/>
          <w:szCs w:val="22"/>
        </w:rPr>
        <w:t xml:space="preserve">This is the single biggest accounting-standards issue currently in the system. The P&amp;L structure does not separate Cost of Services from Operating Expenses, which makes Gross Profit incorrect.</w:t>
      </w:r>
    </w:p>
    <w:p>
      <w:pPr>
        <w:pStyle w:val="Heading3"/>
        <w:spacing w:after="80" w:before="220"/>
      </w:pPr>
      <w:r>
        <w:rPr>
          <w:rFonts w:ascii="Calibri" w:cs="Calibri" w:eastAsia="Calibri" w:hAnsi="Calibri"/>
          <w:b/>
          <w:bCs/>
          <w:color w:val="DC2626"/>
          <w:sz w:val="24"/>
          <w:szCs w:val="24"/>
        </w:rPr>
        <w:t xml:space="preserve">Current (incorrect) structure</w:t>
      </w:r>
    </w:p>
    <w:p>
      <w:pPr>
        <w:shd w:fill="F8FAFC" w:val="clear"/>
        <w:spacing w:after="60" w:before="60" w:line="280"/>
      </w:pPr>
      <w:r>
        <w:rPr>
          <w:rFonts w:ascii="Consolas" w:cs="Consolas" w:eastAsia="Consolas" w:hAnsi="Consolas"/>
          <w:color w:val="0F172A"/>
          <w:sz w:val="20"/>
          <w:szCs w:val="20"/>
        </w:rPr>
        <w:t xml:space="preserve">Revenue</w:t>
      </w:r>
    </w:p>
    <w:p>
      <w:pPr>
        <w:shd w:fill="F8FAFC" w:val="clear"/>
        <w:spacing w:after="60" w:before="60" w:line="280"/>
      </w:pPr>
      <w:r>
        <w:rPr>
          <w:rFonts w:ascii="Consolas" w:cs="Consolas" w:eastAsia="Consolas" w:hAnsi="Consolas"/>
          <w:color w:val="0F172A"/>
          <w:sz w:val="20"/>
          <w:szCs w:val="20"/>
        </w:rPr>
        <w:t xml:space="preserve">  Total Revenue                     PKR X</w:t>
      </w:r>
    </w:p>
    <w:p>
      <w:pPr>
        <w:shd w:fill="F8FAFC" w:val="clear"/>
        <w:spacing w:after="60" w:before="60" w:line="280"/>
      </w:pPr>
      <w:r>
        <w:rPr>
          <w:rFonts w:ascii="Consolas" w:cs="Consolas" w:eastAsia="Consolas" w:hAnsi="Consolas"/>
          <w:color w:val="0F172A"/>
          <w:sz w:val="20"/>
          <w:szCs w:val="20"/>
        </w:rPr>
        <w:t xml:space="preserve">Expenses</w:t>
      </w:r>
    </w:p>
    <w:p>
      <w:pPr>
        <w:shd w:fill="F8FAFC" w:val="clear"/>
        <w:spacing w:after="60" w:before="60" w:line="280"/>
      </w:pPr>
      <w:r>
        <w:rPr>
          <w:rFonts w:ascii="Consolas" w:cs="Consolas" w:eastAsia="Consolas" w:hAnsi="Consolas"/>
          <w:color w:val="0F172A"/>
          <w:sz w:val="20"/>
          <w:szCs w:val="20"/>
        </w:rPr>
        <w:t xml:space="preserve">  Payroll + Operating + Utilities + ...</w:t>
      </w:r>
    </w:p>
    <w:p>
      <w:pPr>
        <w:shd w:fill="F8FAFC" w:val="clear"/>
        <w:spacing w:after="60" w:before="60" w:line="280"/>
      </w:pPr>
      <w:r>
        <w:rPr>
          <w:rFonts w:ascii="Consolas" w:cs="Consolas" w:eastAsia="Consolas" w:hAnsi="Consolas"/>
          <w:color w:val="0F172A"/>
          <w:sz w:val="20"/>
          <w:szCs w:val="20"/>
        </w:rPr>
        <w:t xml:space="preserve">  Total Expenses                    PKR Y</w:t>
      </w:r>
    </w:p>
    <w:p>
      <w:pPr>
        <w:shd w:fill="F8FAFC" w:val="clear"/>
        <w:spacing w:after="60" w:before="60" w:line="280"/>
      </w:pPr>
      <w:r>
        <w:rPr>
          <w:rFonts w:ascii="Consolas" w:cs="Consolas" w:eastAsia="Consolas" w:hAnsi="Consolas"/>
          <w:color w:val="0F172A"/>
          <w:sz w:val="20"/>
          <w:szCs w:val="20"/>
        </w:rPr>
        <w:t xml:space="preserve">Gross Profit = Revenue - Total Expenses  &lt;-- wrong</w:t>
      </w:r>
    </w:p>
    <w:p>
      <w:pPr>
        <w:shd w:fill="F8FAFC" w:val="clear"/>
        <w:spacing w:after="60" w:before="60" w:line="280"/>
      </w:pPr>
      <w:r>
        <w:rPr>
          <w:rFonts w:ascii="Consolas" w:cs="Consolas" w:eastAsia="Consolas" w:hAnsi="Consolas"/>
          <w:color w:val="0F172A"/>
          <w:sz w:val="20"/>
          <w:szCs w:val="20"/>
        </w:rPr>
        <w:t xml:space="preserve">Taxes</w:t>
      </w:r>
    </w:p>
    <w:p>
      <w:pPr>
        <w:shd w:fill="F8FAFC" w:val="clear"/>
        <w:spacing w:after="60" w:before="60" w:line="280"/>
      </w:pPr>
      <w:r>
        <w:rPr>
          <w:rFonts w:ascii="Consolas" w:cs="Consolas" w:eastAsia="Consolas" w:hAnsi="Consolas"/>
          <w:color w:val="0F172A"/>
          <w:sz w:val="20"/>
          <w:szCs w:val="20"/>
        </w:rPr>
        <w:t xml:space="preserve">Net Profit</w:t>
      </w:r>
    </w:p>
    <w:p>
      <w:pPr>
        <w:pStyle w:val="Heading3"/>
        <w:spacing w:after="80" w:before="220"/>
      </w:pPr>
      <w:r>
        <w:rPr>
          <w:rFonts w:ascii="Calibri" w:cs="Calibri" w:eastAsia="Calibri" w:hAnsi="Calibri"/>
          <w:b/>
          <w:bCs/>
          <w:color w:val="DC2626"/>
          <w:sz w:val="24"/>
          <w:szCs w:val="24"/>
        </w:rPr>
        <w:t xml:space="preserve">Required (IFRS-compliant) structure</w:t>
      </w:r>
    </w:p>
    <w:p>
      <w:pPr>
        <w:shd w:fill="F8FAFC" w:val="clear"/>
        <w:spacing w:after="60" w:before="60" w:line="280"/>
      </w:pPr>
      <w:r>
        <w:rPr>
          <w:rFonts w:ascii="Consolas" w:cs="Consolas" w:eastAsia="Consolas" w:hAnsi="Consolas"/>
          <w:color w:val="0F172A"/>
          <w:sz w:val="20"/>
          <w:szCs w:val="20"/>
        </w:rPr>
        <w:t xml:space="preserve">Revenue</w:t>
      </w:r>
    </w:p>
    <w:p>
      <w:pPr>
        <w:shd w:fill="F8FAFC" w:val="clear"/>
        <w:spacing w:after="60" w:before="60" w:line="280"/>
      </w:pPr>
      <w:r>
        <w:rPr>
          <w:rFonts w:ascii="Consolas" w:cs="Consolas" w:eastAsia="Consolas" w:hAnsi="Consolas"/>
          <w:color w:val="0F172A"/>
          <w:sz w:val="20"/>
          <w:szCs w:val="20"/>
        </w:rPr>
        <w:t xml:space="preserve">  Service Revenue</w:t>
      </w:r>
    </w:p>
    <w:p>
      <w:pPr>
        <w:shd w:fill="F8FAFC" w:val="clear"/>
        <w:spacing w:after="60" w:before="60" w:line="280"/>
      </w:pPr>
      <w:r>
        <w:rPr>
          <w:rFonts w:ascii="Consolas" w:cs="Consolas" w:eastAsia="Consolas" w:hAnsi="Consolas"/>
          <w:color w:val="0F172A"/>
          <w:sz w:val="20"/>
          <w:szCs w:val="20"/>
        </w:rPr>
        <w:t xml:space="preserve">  Reliever / Ad-hoc Revenue</w:t>
      </w:r>
    </w:p>
    <w:p>
      <w:pPr>
        <w:shd w:fill="F8FAFC" w:val="clear"/>
        <w:spacing w:after="60" w:before="60" w:line="280"/>
      </w:pPr>
      <w:r>
        <w:rPr>
          <w:rFonts w:ascii="Consolas" w:cs="Consolas" w:eastAsia="Consolas" w:hAnsi="Consolas"/>
          <w:color w:val="0F172A"/>
          <w:sz w:val="20"/>
          <w:szCs w:val="20"/>
        </w:rPr>
        <w:t xml:space="preserve">  Total Revenue                          PKR X</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Cost of Services</w:t>
      </w:r>
    </w:p>
    <w:p>
      <w:pPr>
        <w:shd w:fill="F8FAFC" w:val="clear"/>
        <w:spacing w:after="60" w:before="60" w:line="280"/>
      </w:pPr>
      <w:r>
        <w:rPr>
          <w:rFonts w:ascii="Consolas" w:cs="Consolas" w:eastAsia="Consolas" w:hAnsi="Consolas"/>
          <w:color w:val="0F172A"/>
          <w:sz w:val="20"/>
          <w:szCs w:val="20"/>
        </w:rPr>
        <w:t xml:space="preserve">  Guard Payroll &amp; Salaries</w:t>
      </w:r>
    </w:p>
    <w:p>
      <w:pPr>
        <w:shd w:fill="F8FAFC" w:val="clear"/>
        <w:spacing w:after="60" w:before="60" w:line="280"/>
      </w:pPr>
      <w:r>
        <w:rPr>
          <w:rFonts w:ascii="Consolas" w:cs="Consolas" w:eastAsia="Consolas" w:hAnsi="Consolas"/>
          <w:color w:val="0F172A"/>
          <w:sz w:val="20"/>
          <w:szCs w:val="20"/>
        </w:rPr>
        <w:t xml:space="preserve">  Guard Statutory Costs (EOBI, IESSI, etc.)</w:t>
      </w:r>
    </w:p>
    <w:p>
      <w:pPr>
        <w:shd w:fill="F8FAFC" w:val="clear"/>
        <w:spacing w:after="60" w:before="60" w:line="280"/>
      </w:pPr>
      <w:r>
        <w:rPr>
          <w:rFonts w:ascii="Consolas" w:cs="Consolas" w:eastAsia="Consolas" w:hAnsi="Consolas"/>
          <w:color w:val="0F172A"/>
          <w:sz w:val="20"/>
          <w:szCs w:val="20"/>
        </w:rPr>
        <w:t xml:space="preserve">  Transportation &amp; Fuel (deployment)</w:t>
      </w:r>
    </w:p>
    <w:p>
      <w:pPr>
        <w:shd w:fill="F8FAFC" w:val="clear"/>
        <w:spacing w:after="60" w:before="60" w:line="280"/>
      </w:pPr>
      <w:r>
        <w:rPr>
          <w:rFonts w:ascii="Consolas" w:cs="Consolas" w:eastAsia="Consolas" w:hAnsi="Consolas"/>
          <w:color w:val="0F172A"/>
          <w:sz w:val="20"/>
          <w:szCs w:val="20"/>
        </w:rPr>
        <w:t xml:space="preserve">  Equipment &amp; Supplies (uniforms, gear)</w:t>
      </w:r>
    </w:p>
    <w:p>
      <w:pPr>
        <w:shd w:fill="F8FAFC" w:val="clear"/>
        <w:spacing w:after="60" w:before="60" w:line="280"/>
      </w:pPr>
      <w:r>
        <w:rPr>
          <w:rFonts w:ascii="Consolas" w:cs="Consolas" w:eastAsia="Consolas" w:hAnsi="Consolas"/>
          <w:color w:val="0F172A"/>
          <w:sz w:val="20"/>
          <w:szCs w:val="20"/>
        </w:rPr>
        <w:t xml:space="preserve">  Total Cost of Services                 PKR Y</w:t>
      </w:r>
    </w:p>
    <w:p>
      <w:pPr>
        <w:shd w:fill="F8FAFC" w:val="clear"/>
        <w:spacing w:after="60" w:before="60" w:line="280"/>
      </w:pPr>
      <w:r>
        <w:rPr>
          <w:rFonts w:ascii="Consolas" w:cs="Consolas" w:eastAsia="Consolas" w:hAnsi="Consolas"/>
          <w:color w:val="0F172A"/>
          <w:sz w:val="20"/>
          <w:szCs w:val="20"/>
        </w:rPr>
        <w:t xml:space="preserve">Gross Profit                             PKR X - Y</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Operating Expenses</w:t>
      </w:r>
    </w:p>
    <w:p>
      <w:pPr>
        <w:shd w:fill="F8FAFC" w:val="clear"/>
        <w:spacing w:after="60" w:before="60" w:line="280"/>
      </w:pPr>
      <w:r>
        <w:rPr>
          <w:rFonts w:ascii="Consolas" w:cs="Consolas" w:eastAsia="Consolas" w:hAnsi="Consolas"/>
          <w:color w:val="0F172A"/>
          <w:sz w:val="20"/>
          <w:szCs w:val="20"/>
        </w:rPr>
        <w:t xml:space="preserve">  Office Salaries (non-billable staff)</w:t>
      </w:r>
    </w:p>
    <w:p>
      <w:pPr>
        <w:shd w:fill="F8FAFC" w:val="clear"/>
        <w:spacing w:after="60" w:before="60" w:line="280"/>
      </w:pPr>
      <w:r>
        <w:rPr>
          <w:rFonts w:ascii="Consolas" w:cs="Consolas" w:eastAsia="Consolas" w:hAnsi="Consolas"/>
          <w:color w:val="0F172A"/>
          <w:sz w:val="20"/>
          <w:szCs w:val="20"/>
        </w:rPr>
        <w:t xml:space="preserve">  Utilities &amp; Rent (HQ)</w:t>
      </w:r>
    </w:p>
    <w:p>
      <w:pPr>
        <w:shd w:fill="F8FAFC" w:val="clear"/>
        <w:spacing w:after="60" w:before="60" w:line="280"/>
      </w:pPr>
      <w:r>
        <w:rPr>
          <w:rFonts w:ascii="Consolas" w:cs="Consolas" w:eastAsia="Consolas" w:hAnsi="Consolas"/>
          <w:color w:val="0F172A"/>
          <w:sz w:val="20"/>
          <w:szCs w:val="20"/>
        </w:rPr>
        <w:t xml:space="preserve">  Insurance</w:t>
      </w:r>
    </w:p>
    <w:p>
      <w:pPr>
        <w:shd w:fill="F8FAFC" w:val="clear"/>
        <w:spacing w:after="60" w:before="60" w:line="280"/>
      </w:pPr>
      <w:r>
        <w:rPr>
          <w:rFonts w:ascii="Consolas" w:cs="Consolas" w:eastAsia="Consolas" w:hAnsi="Consolas"/>
          <w:color w:val="0F172A"/>
          <w:sz w:val="20"/>
          <w:szCs w:val="20"/>
        </w:rPr>
        <w:t xml:space="preserve">  Licences (company-level)</w:t>
      </w:r>
    </w:p>
    <w:p>
      <w:pPr>
        <w:shd w:fill="F8FAFC" w:val="clear"/>
        <w:spacing w:after="60" w:before="60" w:line="280"/>
      </w:pPr>
      <w:r>
        <w:rPr>
          <w:rFonts w:ascii="Consolas" w:cs="Consolas" w:eastAsia="Consolas" w:hAnsi="Consolas"/>
          <w:color w:val="0F172A"/>
          <w:sz w:val="20"/>
          <w:szCs w:val="20"/>
        </w:rPr>
        <w:t xml:space="preserve">  Total Operating Expenses               PKR Z</w:t>
      </w:r>
    </w:p>
    <w:p>
      <w:pPr>
        <w:shd w:fill="F8FAFC" w:val="clear"/>
        <w:spacing w:after="60" w:before="60" w:line="280"/>
      </w:pPr>
      <w:r>
        <w:rPr>
          <w:rFonts w:ascii="Consolas" w:cs="Consolas" w:eastAsia="Consolas" w:hAnsi="Consolas"/>
          <w:color w:val="0F172A"/>
          <w:sz w:val="20"/>
          <w:szCs w:val="20"/>
        </w:rPr>
        <w:t xml:space="preserve">Operating Profit                         (Gross - OpEx)</w:t>
      </w:r>
    </w:p>
    <w:p>
      <w:pPr>
        <w:shd w:fill="F8FAFC" w:val="clear"/>
        <w:spacing w:after="60" w:before="60" w:line="280"/>
      </w:pPr>
      <w:r>
        <w:rPr>
          <w:rFonts w:ascii="Consolas" w:cs="Consolas" w:eastAsia="Consolas" w:hAnsi="Consolas"/>
          <w:color w:val="0F172A"/>
          <w:sz w:val="20"/>
          <w:szCs w:val="20"/>
        </w:rPr>
        <w:t xml:space="preserve"/>
      </w:r>
    </w:p>
    <w:p>
      <w:pPr>
        <w:shd w:fill="F8FAFC" w:val="clear"/>
        <w:spacing w:after="60" w:before="60" w:line="280"/>
      </w:pPr>
      <w:r>
        <w:rPr>
          <w:rFonts w:ascii="Consolas" w:cs="Consolas" w:eastAsia="Consolas" w:hAnsi="Consolas"/>
          <w:color w:val="0F172A"/>
          <w:sz w:val="20"/>
          <w:szCs w:val="20"/>
        </w:rPr>
        <w:t xml:space="preserve">Other Income / (Expenses)</w:t>
      </w:r>
    </w:p>
    <w:p>
      <w:pPr>
        <w:shd w:fill="F8FAFC" w:val="clear"/>
        <w:spacing w:after="60" w:before="60" w:line="280"/>
      </w:pPr>
      <w:r>
        <w:rPr>
          <w:rFonts w:ascii="Consolas" w:cs="Consolas" w:eastAsia="Consolas" w:hAnsi="Consolas"/>
          <w:color w:val="0F172A"/>
          <w:sz w:val="20"/>
          <w:szCs w:val="20"/>
        </w:rPr>
        <w:t xml:space="preserve">Earnings Before Tax (EBT)</w:t>
      </w:r>
    </w:p>
    <w:p>
      <w:pPr>
        <w:shd w:fill="F8FAFC" w:val="clear"/>
        <w:spacing w:after="60" w:before="60" w:line="280"/>
      </w:pPr>
      <w:r>
        <w:rPr>
          <w:rFonts w:ascii="Consolas" w:cs="Consolas" w:eastAsia="Consolas" w:hAnsi="Consolas"/>
          <w:color w:val="0F172A"/>
          <w:sz w:val="20"/>
          <w:szCs w:val="20"/>
        </w:rPr>
        <w:t xml:space="preserve">Income Tax</w:t>
      </w:r>
    </w:p>
    <w:p>
      <w:pPr>
        <w:shd w:fill="F8FAFC" w:val="clear"/>
        <w:spacing w:after="60" w:before="60" w:line="280"/>
      </w:pPr>
      <w:r>
        <w:rPr>
          <w:rFonts w:ascii="Consolas" w:cs="Consolas" w:eastAsia="Consolas" w:hAnsi="Consolas"/>
          <w:color w:val="0F172A"/>
          <w:sz w:val="20"/>
          <w:szCs w:val="20"/>
        </w:rPr>
        <w:t xml:space="preserve">Net Profit</w:t>
      </w:r>
    </w:p>
    <w:p>
      <w:pPr>
        <w:spacing w:after="160"/>
      </w:pPr>
      <w:r>
        <w:t xml:space="preserve"/>
      </w:r>
    </w:p>
    <w:tbl>
      <w:tblPr>
        <w:tblW w:type="dxa" w:w="9360"/>
        <w:tblBorders>
          <w:top w:val="single" w:color="D97706" w:sz="6"/>
          <w:left w:val="single" w:color="D97706" w:sz="18"/>
          <w:bottom w:val="single" w:color="D97706" w:sz="6"/>
          <w:right w:val="single" w:color="D97706" w:sz="6"/>
          <w:insideH w:val="none" w:color="FFFFFF" w:sz="0"/>
          <w:insideV w:val="none" w:color="FFFFFF" w:sz="0"/>
        </w:tblBorders>
      </w:tblPr>
      <w:tblGrid>
        <w:gridCol w:w="9360"/>
      </w:tblGrid>
      <w:tr>
        <w:tc>
          <w:tcPr>
            <w:tcW w:type="dxa" w:w="9360"/>
            <w:shd w:fill="FFFBEB" w:val="clear"/>
            <w:tcMar>
              <w:top w:type="dxa" w:w="180"/>
              <w:left w:type="dxa" w:w="240"/>
              <w:bottom w:type="dxa" w:w="180"/>
              <w:right w:type="dxa" w:w="240"/>
            </w:tcMar>
          </w:tcPr>
          <w:p>
            <w:pPr>
              <w:spacing w:after="80"/>
            </w:pPr>
            <w:r>
              <w:rPr>
                <w:rFonts w:ascii="Calibri" w:cs="Calibri" w:eastAsia="Calibri" w:hAnsi="Calibri"/>
                <w:b/>
                <w:bCs/>
                <w:color w:val="D97706"/>
                <w:sz w:val="22"/>
                <w:szCs w:val="22"/>
              </w:rPr>
              <w:t xml:space="preserve">Implementation note</w:t>
            </w:r>
          </w:p>
          <w:p>
            <w:pPr>
              <w:spacing w:after="0" w:line="300"/>
            </w:pPr>
            <w:r>
              <w:rPr>
                <w:rFonts w:ascii="Calibri" w:cs="Calibri" w:eastAsia="Calibri" w:hAnsi="Calibri"/>
                <w:color w:val="334155"/>
                <w:sz w:val="22"/>
                <w:szCs w:val="22"/>
              </w:rPr>
              <w:t xml:space="preserve">This requires each expense to be tagged either "Cost of Services" or "Operating Expense" at creation. Add this as a required field on the Add Expense form. Default to "Operating Expense" only when no client/contract is selected; otherwise default to "Cost of Services."</w:t>
            </w:r>
          </w:p>
        </w:tc>
      </w:tr>
    </w:tbl>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4. Security-Specific Modules to Build</w:t>
      </w:r>
    </w:p>
    <w:p>
      <w:pPr>
        <w:spacing w:after="120" w:before="0" w:line="300"/>
        <w:jc w:val="left"/>
      </w:pPr>
      <w:r>
        <w:rPr>
          <w:rFonts w:ascii="Calibri" w:cs="Calibri" w:eastAsia="Calibri" w:hAnsi="Calibri"/>
          <w:b w:val="false"/>
          <w:bCs w:val="false"/>
          <w:i w:val="false"/>
          <w:iCs w:val="false"/>
          <w:color w:val="334155"/>
          <w:sz w:val="22"/>
          <w:szCs w:val="22"/>
        </w:rPr>
        <w:t xml:space="preserve">These four modules separate a security-services CRM from a generic business tool. Building them is what makes the platform genuinely defensible and worth paying for.</w:t>
      </w:r>
    </w:p>
    <w:p>
      <w:pPr>
        <w:pStyle w:val="Heading2"/>
        <w:spacing w:after="100" w:before="280"/>
      </w:pPr>
      <w:r>
        <w:rPr>
          <w:rFonts w:ascii="Calibri" w:cs="Calibri" w:eastAsia="Calibri" w:hAnsi="Calibri"/>
          <w:b/>
          <w:bCs/>
          <w:color w:val="0F172A"/>
          <w:sz w:val="28"/>
          <w:szCs w:val="28"/>
        </w:rPr>
        <w:t xml:space="preserve">4.1 Deployment Roster</w:t>
      </w:r>
    </w:p>
    <w:p>
      <w:pPr>
        <w:spacing w:after="120" w:before="0" w:line="300"/>
        <w:jc w:val="left"/>
      </w:pPr>
      <w:r>
        <w:rPr>
          <w:rFonts w:ascii="Calibri" w:cs="Calibri" w:eastAsia="Calibri" w:hAnsi="Calibri"/>
          <w:b w:val="false"/>
          <w:bCs w:val="false"/>
          <w:i w:val="false"/>
          <w:iCs w:val="false"/>
          <w:color w:val="334155"/>
          <w:sz w:val="22"/>
          <w:szCs w:val="22"/>
        </w:rPr>
        <w:t xml:space="preserve">Specified in section 3.4. The single biggest competitive differentiator. Without it, supervisors plan deployments in Excel or on paper, and the CRM is downstream of the real decision-making.</w:t>
      </w:r>
    </w:p>
    <w:p>
      <w:pPr>
        <w:pStyle w:val="Heading2"/>
        <w:spacing w:after="100" w:before="280"/>
      </w:pPr>
      <w:r>
        <w:rPr>
          <w:rFonts w:ascii="Calibri" w:cs="Calibri" w:eastAsia="Calibri" w:hAnsi="Calibri"/>
          <w:b/>
          <w:bCs/>
          <w:color w:val="0F172A"/>
          <w:sz w:val="28"/>
          <w:szCs w:val="28"/>
        </w:rPr>
        <w:t xml:space="preserve">4.2 Incidents Module</w:t>
      </w:r>
    </w:p>
    <w:p>
      <w:pPr>
        <w:spacing w:after="120" w:before="0" w:line="300"/>
        <w:jc w:val="left"/>
      </w:pPr>
      <w:r>
        <w:rPr>
          <w:rFonts w:ascii="Calibri" w:cs="Calibri" w:eastAsia="Calibri" w:hAnsi="Calibri"/>
          <w:b w:val="false"/>
          <w:bCs w:val="false"/>
          <w:i w:val="false"/>
          <w:iCs w:val="false"/>
          <w:color w:val="334155"/>
          <w:sz w:val="22"/>
          <w:szCs w:val="22"/>
        </w:rPr>
        <w:t xml:space="preserve">Every security firm has incidents. Without a structured log, recurring patterns are invisible, client disputes lack evidence, and disciplinary action against guards has no paper trail.</w:t>
      </w:r>
    </w:p>
    <w:p>
      <w:pPr>
        <w:pStyle w:val="Heading3"/>
        <w:spacing w:after="80" w:before="220"/>
      </w:pPr>
      <w:r>
        <w:rPr>
          <w:rFonts w:ascii="Calibri" w:cs="Calibri" w:eastAsia="Calibri" w:hAnsi="Calibri"/>
          <w:b/>
          <w:bCs/>
          <w:color w:val="DC2626"/>
          <w:sz w:val="24"/>
          <w:szCs w:val="24"/>
        </w:rPr>
        <w:t xml:space="preserve">Fields</w:t>
      </w:r>
    </w:p>
    <w:p>
      <w:pPr>
        <w:pStyle w:val="ListParagraph"/>
        <w:numPr>
          <w:ilvl w:val="0"/>
          <w:numId w:val="2"/>
        </w:numPr>
        <w:spacing w:after="80" w:line="290"/>
      </w:pPr>
      <w:r>
        <w:rPr>
          <w:rFonts w:ascii="Calibri" w:cs="Calibri" w:eastAsia="Calibri" w:hAnsi="Calibri"/>
          <w:color w:val="334155"/>
          <w:sz w:val="22"/>
          <w:szCs w:val="22"/>
        </w:rPr>
        <w:t xml:space="preserve">Date and time of incident.</w:t>
      </w:r>
    </w:p>
    <w:p>
      <w:pPr>
        <w:pStyle w:val="ListParagraph"/>
        <w:numPr>
          <w:ilvl w:val="0"/>
          <w:numId w:val="2"/>
        </w:numPr>
        <w:spacing w:after="80" w:line="290"/>
      </w:pPr>
      <w:r>
        <w:rPr>
          <w:rFonts w:ascii="Calibri" w:cs="Calibri" w:eastAsia="Calibri" w:hAnsi="Calibri"/>
          <w:color w:val="334155"/>
          <w:sz w:val="22"/>
          <w:szCs w:val="22"/>
        </w:rPr>
        <w:t xml:space="preserve">Client and post / location.</w:t>
      </w:r>
    </w:p>
    <w:p>
      <w:pPr>
        <w:pStyle w:val="ListParagraph"/>
        <w:numPr>
          <w:ilvl w:val="0"/>
          <w:numId w:val="2"/>
        </w:numPr>
        <w:spacing w:after="80" w:line="290"/>
      </w:pPr>
      <w:r>
        <w:rPr>
          <w:rFonts w:ascii="Calibri" w:cs="Calibri" w:eastAsia="Calibri" w:hAnsi="Calibri"/>
          <w:color w:val="334155"/>
          <w:sz w:val="22"/>
          <w:szCs w:val="22"/>
        </w:rPr>
        <w:t xml:space="preserve">Guard(s) involved (multi-select).</w:t>
      </w:r>
    </w:p>
    <w:p>
      <w:pPr>
        <w:pStyle w:val="ListParagraph"/>
        <w:numPr>
          <w:ilvl w:val="0"/>
          <w:numId w:val="2"/>
        </w:numPr>
        <w:spacing w:after="80" w:line="290"/>
      </w:pPr>
      <w:r>
        <w:rPr>
          <w:rFonts w:ascii="Calibri" w:cs="Calibri" w:eastAsia="Calibri" w:hAnsi="Calibri"/>
          <w:color w:val="334155"/>
          <w:sz w:val="22"/>
          <w:szCs w:val="22"/>
        </w:rPr>
        <w:t xml:space="preserve">Severity (Low / Medium / High / Critical).</w:t>
      </w:r>
    </w:p>
    <w:p>
      <w:pPr>
        <w:pStyle w:val="ListParagraph"/>
        <w:numPr>
          <w:ilvl w:val="0"/>
          <w:numId w:val="2"/>
        </w:numPr>
        <w:spacing w:after="80" w:line="290"/>
      </w:pPr>
      <w:r>
        <w:rPr>
          <w:rFonts w:ascii="Calibri" w:cs="Calibri" w:eastAsia="Calibri" w:hAnsi="Calibri"/>
          <w:color w:val="334155"/>
          <w:sz w:val="22"/>
          <w:szCs w:val="22"/>
        </w:rPr>
        <w:t xml:space="preserve">Category (Theft, Altercation, Guard Injury, Weapon Discharge, No-Show, Asset Damage, Client Complaint, Other).</w:t>
      </w:r>
    </w:p>
    <w:p>
      <w:pPr>
        <w:pStyle w:val="ListParagraph"/>
        <w:numPr>
          <w:ilvl w:val="0"/>
          <w:numId w:val="2"/>
        </w:numPr>
        <w:spacing w:after="80" w:line="290"/>
      </w:pPr>
      <w:r>
        <w:rPr>
          <w:rFonts w:ascii="Calibri" w:cs="Calibri" w:eastAsia="Calibri" w:hAnsi="Calibri"/>
          <w:color w:val="334155"/>
          <w:sz w:val="22"/>
          <w:szCs w:val="22"/>
        </w:rPr>
        <w:t xml:space="preserve">Description (text).</w:t>
      </w:r>
    </w:p>
    <w:p>
      <w:pPr>
        <w:pStyle w:val="ListParagraph"/>
        <w:numPr>
          <w:ilvl w:val="0"/>
          <w:numId w:val="2"/>
        </w:numPr>
        <w:spacing w:after="80" w:line="290"/>
      </w:pPr>
      <w:r>
        <w:rPr>
          <w:rFonts w:ascii="Calibri" w:cs="Calibri" w:eastAsia="Calibri" w:hAnsi="Calibri"/>
          <w:color w:val="334155"/>
          <w:sz w:val="22"/>
          <w:szCs w:val="22"/>
        </w:rPr>
        <w:t xml:space="preserve">Client notified (Yes / No / Date).</w:t>
      </w:r>
    </w:p>
    <w:p>
      <w:pPr>
        <w:pStyle w:val="ListParagraph"/>
        <w:numPr>
          <w:ilvl w:val="0"/>
          <w:numId w:val="2"/>
        </w:numPr>
        <w:spacing w:after="80" w:line="290"/>
      </w:pPr>
      <w:r>
        <w:rPr>
          <w:rFonts w:ascii="Calibri" w:cs="Calibri" w:eastAsia="Calibri" w:hAnsi="Calibri"/>
          <w:color w:val="334155"/>
          <w:sz w:val="22"/>
          <w:szCs w:val="22"/>
        </w:rPr>
        <w:t xml:space="preserve">Action taken (text).</w:t>
      </w:r>
    </w:p>
    <w:p>
      <w:pPr>
        <w:pStyle w:val="ListParagraph"/>
        <w:numPr>
          <w:ilvl w:val="0"/>
          <w:numId w:val="2"/>
        </w:numPr>
        <w:spacing w:after="80" w:line="290"/>
      </w:pPr>
      <w:r>
        <w:rPr>
          <w:rFonts w:ascii="Calibri" w:cs="Calibri" w:eastAsia="Calibri" w:hAnsi="Calibri"/>
          <w:color w:val="334155"/>
          <w:sz w:val="22"/>
          <w:szCs w:val="22"/>
        </w:rPr>
        <w:t xml:space="preserve">Attachments (photos, FIR copies, CCTV references).</w:t>
      </w:r>
    </w:p>
    <w:p>
      <w:pPr>
        <w:pStyle w:val="ListParagraph"/>
        <w:numPr>
          <w:ilvl w:val="0"/>
          <w:numId w:val="2"/>
        </w:numPr>
        <w:spacing w:after="80" w:line="290"/>
      </w:pPr>
      <w:r>
        <w:rPr>
          <w:rFonts w:ascii="Calibri" w:cs="Calibri" w:eastAsia="Calibri" w:hAnsi="Calibri"/>
          <w:color w:val="334155"/>
          <w:sz w:val="22"/>
          <w:szCs w:val="22"/>
        </w:rPr>
        <w:t xml:space="preserve">Status (Open / Under Investigation / Resolved / Closed).</w:t>
      </w:r>
    </w:p>
    <w:p>
      <w:pPr>
        <w:pStyle w:val="Heading3"/>
        <w:spacing w:after="80" w:before="220"/>
      </w:pPr>
      <w:r>
        <w:rPr>
          <w:rFonts w:ascii="Calibri" w:cs="Calibri" w:eastAsia="Calibri" w:hAnsi="Calibri"/>
          <w:b/>
          <w:bCs/>
          <w:color w:val="DC2626"/>
          <w:sz w:val="24"/>
          <w:szCs w:val="24"/>
        </w:rPr>
        <w:t xml:space="preserve">Cross-references</w:t>
      </w:r>
    </w:p>
    <w:p>
      <w:pPr>
        <w:pStyle w:val="ListParagraph"/>
        <w:numPr>
          <w:ilvl w:val="0"/>
          <w:numId w:val="2"/>
        </w:numPr>
        <w:spacing w:after="80" w:line="290"/>
      </w:pPr>
      <w:r>
        <w:rPr>
          <w:rFonts w:ascii="Calibri" w:cs="Calibri" w:eastAsia="Calibri" w:hAnsi="Calibri"/>
          <w:color w:val="334155"/>
          <w:sz w:val="22"/>
          <w:szCs w:val="22"/>
        </w:rPr>
        <w:t xml:space="preserve">Every incident links to the involved guard(s) in their employee record (incident count visible on profile).</w:t>
      </w:r>
    </w:p>
    <w:p>
      <w:pPr>
        <w:pStyle w:val="ListParagraph"/>
        <w:numPr>
          <w:ilvl w:val="0"/>
          <w:numId w:val="2"/>
        </w:numPr>
        <w:spacing w:after="80" w:line="290"/>
      </w:pPr>
      <w:r>
        <w:rPr>
          <w:rFonts w:ascii="Calibri" w:cs="Calibri" w:eastAsia="Calibri" w:hAnsi="Calibri"/>
          <w:color w:val="334155"/>
          <w:sz w:val="22"/>
          <w:szCs w:val="22"/>
        </w:rPr>
        <w:t xml:space="preserve">Every incident links to the client (incident count visible on client profile, used in renewal discussions).</w:t>
      </w:r>
    </w:p>
    <w:p>
      <w:pPr>
        <w:pStyle w:val="Heading2"/>
        <w:spacing w:after="100" w:before="280"/>
      </w:pPr>
      <w:r>
        <w:rPr>
          <w:rFonts w:ascii="Calibri" w:cs="Calibri" w:eastAsia="Calibri" w:hAnsi="Calibri"/>
          <w:b/>
          <w:bCs/>
          <w:color w:val="0F172A"/>
          <w:sz w:val="28"/>
          <w:szCs w:val="28"/>
        </w:rPr>
        <w:t xml:space="preserve">4.3 Licences &amp; Renewals Centre</w:t>
      </w:r>
    </w:p>
    <w:p>
      <w:pPr>
        <w:spacing w:after="120" w:before="0" w:line="300"/>
        <w:jc w:val="left"/>
      </w:pPr>
      <w:r>
        <w:rPr>
          <w:rFonts w:ascii="Calibri" w:cs="Calibri" w:eastAsia="Calibri" w:hAnsi="Calibri"/>
          <w:b w:val="false"/>
          <w:bCs w:val="false"/>
          <w:i w:val="false"/>
          <w:iCs w:val="false"/>
          <w:color w:val="334155"/>
          <w:sz w:val="22"/>
          <w:szCs w:val="22"/>
        </w:rPr>
        <w:t xml:space="preserve">Currently scattered: weapon licence on the dashboard alert, contract end dates inside the Clients form, employee licences (when added) inside the Employees form. Build a single centre that aggregates every expiring item.</w:t>
      </w:r>
    </w:p>
    <w:p>
      <w:pPr>
        <w:pStyle w:val="Heading3"/>
        <w:spacing w:after="80" w:before="220"/>
      </w:pPr>
      <w:r>
        <w:rPr>
          <w:rFonts w:ascii="Calibri" w:cs="Calibri" w:eastAsia="Calibri" w:hAnsi="Calibri"/>
          <w:b/>
          <w:bCs/>
          <w:color w:val="DC2626"/>
          <w:sz w:val="24"/>
          <w:szCs w:val="24"/>
        </w:rPr>
        <w:t xml:space="preserve">Aggregates</w:t>
      </w:r>
    </w:p>
    <w:p>
      <w:pPr>
        <w:pStyle w:val="ListParagraph"/>
        <w:numPr>
          <w:ilvl w:val="0"/>
          <w:numId w:val="2"/>
        </w:numPr>
        <w:spacing w:after="80" w:line="290"/>
      </w:pPr>
      <w:r>
        <w:rPr>
          <w:rFonts w:ascii="Calibri" w:cs="Calibri" w:eastAsia="Calibri" w:hAnsi="Calibri"/>
          <w:color w:val="334155"/>
          <w:sz w:val="22"/>
          <w:szCs w:val="22"/>
        </w:rPr>
        <w:t xml:space="preserve">Weapon licences (per guard, per weapon).</w:t>
      </w:r>
    </w:p>
    <w:p>
      <w:pPr>
        <w:pStyle w:val="ListParagraph"/>
        <w:numPr>
          <w:ilvl w:val="0"/>
          <w:numId w:val="2"/>
        </w:numPr>
        <w:spacing w:after="80" w:line="290"/>
      </w:pPr>
      <w:r>
        <w:rPr>
          <w:rFonts w:ascii="Calibri" w:cs="Calibri" w:eastAsia="Calibri" w:hAnsi="Calibri"/>
          <w:color w:val="334155"/>
          <w:sz w:val="22"/>
          <w:szCs w:val="22"/>
        </w:rPr>
        <w:t xml:space="preserve">Guard service licences.</w:t>
      </w:r>
    </w:p>
    <w:p>
      <w:pPr>
        <w:pStyle w:val="ListParagraph"/>
        <w:numPr>
          <w:ilvl w:val="0"/>
          <w:numId w:val="2"/>
        </w:numPr>
        <w:spacing w:after="80" w:line="290"/>
      </w:pPr>
      <w:r>
        <w:rPr>
          <w:rFonts w:ascii="Calibri" w:cs="Calibri" w:eastAsia="Calibri" w:hAnsi="Calibri"/>
          <w:color w:val="334155"/>
          <w:sz w:val="22"/>
          <w:szCs w:val="22"/>
        </w:rPr>
        <w:t xml:space="preserve">Medical fitness certificates.</w:t>
      </w:r>
    </w:p>
    <w:p>
      <w:pPr>
        <w:pStyle w:val="ListParagraph"/>
        <w:numPr>
          <w:ilvl w:val="0"/>
          <w:numId w:val="2"/>
        </w:numPr>
        <w:spacing w:after="80" w:line="290"/>
      </w:pPr>
      <w:r>
        <w:rPr>
          <w:rFonts w:ascii="Calibri" w:cs="Calibri" w:eastAsia="Calibri" w:hAnsi="Calibri"/>
          <w:color w:val="334155"/>
          <w:sz w:val="22"/>
          <w:szCs w:val="22"/>
        </w:rPr>
        <w:t xml:space="preserve">Police verifications.</w:t>
      </w:r>
    </w:p>
    <w:p>
      <w:pPr>
        <w:pStyle w:val="ListParagraph"/>
        <w:numPr>
          <w:ilvl w:val="0"/>
          <w:numId w:val="2"/>
        </w:numPr>
        <w:spacing w:after="80" w:line="290"/>
      </w:pPr>
      <w:r>
        <w:rPr>
          <w:rFonts w:ascii="Calibri" w:cs="Calibri" w:eastAsia="Calibri" w:hAnsi="Calibri"/>
          <w:color w:val="334155"/>
          <w:sz w:val="22"/>
          <w:szCs w:val="22"/>
        </w:rPr>
        <w:t xml:space="preserve">Company PESRA / provincial agency licence.</w:t>
      </w:r>
    </w:p>
    <w:p>
      <w:pPr>
        <w:pStyle w:val="ListParagraph"/>
        <w:numPr>
          <w:ilvl w:val="0"/>
          <w:numId w:val="2"/>
        </w:numPr>
        <w:spacing w:after="80" w:line="290"/>
      </w:pPr>
      <w:r>
        <w:rPr>
          <w:rFonts w:ascii="Calibri" w:cs="Calibri" w:eastAsia="Calibri" w:hAnsi="Calibri"/>
          <w:color w:val="334155"/>
          <w:sz w:val="22"/>
          <w:szCs w:val="22"/>
        </w:rPr>
        <w:t xml:space="preserve">SECP filings and corporate compliance.</w:t>
      </w:r>
    </w:p>
    <w:p>
      <w:pPr>
        <w:pStyle w:val="ListParagraph"/>
        <w:numPr>
          <w:ilvl w:val="0"/>
          <w:numId w:val="2"/>
        </w:numPr>
        <w:spacing w:after="80" w:line="290"/>
      </w:pPr>
      <w:r>
        <w:rPr>
          <w:rFonts w:ascii="Calibri" w:cs="Calibri" w:eastAsia="Calibri" w:hAnsi="Calibri"/>
          <w:color w:val="334155"/>
          <w:sz w:val="22"/>
          <w:szCs w:val="22"/>
        </w:rPr>
        <w:t xml:space="preserve">Client contract end dates.</w:t>
      </w:r>
    </w:p>
    <w:p>
      <w:pPr>
        <w:pStyle w:val="ListParagraph"/>
        <w:numPr>
          <w:ilvl w:val="0"/>
          <w:numId w:val="2"/>
        </w:numPr>
        <w:spacing w:after="80" w:line="290"/>
      </w:pPr>
      <w:r>
        <w:rPr>
          <w:rFonts w:ascii="Calibri" w:cs="Calibri" w:eastAsia="Calibri" w:hAnsi="Calibri"/>
          <w:color w:val="334155"/>
          <w:sz w:val="22"/>
          <w:szCs w:val="22"/>
        </w:rPr>
        <w:t xml:space="preserve">Vehicle fitness and route permits.</w:t>
      </w:r>
    </w:p>
    <w:p>
      <w:pPr>
        <w:pStyle w:val="Heading3"/>
        <w:spacing w:after="80" w:before="220"/>
      </w:pPr>
      <w:r>
        <w:rPr>
          <w:rFonts w:ascii="Calibri" w:cs="Calibri" w:eastAsia="Calibri" w:hAnsi="Calibri"/>
          <w:b/>
          <w:bCs/>
          <w:color w:val="DC2626"/>
          <w:sz w:val="24"/>
          <w:szCs w:val="24"/>
        </w:rPr>
        <w:t xml:space="preserve">Behaviour</w:t>
      </w:r>
    </w:p>
    <w:p>
      <w:pPr>
        <w:pStyle w:val="ListParagraph"/>
        <w:numPr>
          <w:ilvl w:val="0"/>
          <w:numId w:val="2"/>
        </w:numPr>
        <w:spacing w:after="80" w:line="290"/>
      </w:pPr>
      <w:r>
        <w:rPr>
          <w:rFonts w:ascii="Calibri" w:cs="Calibri" w:eastAsia="Calibri" w:hAnsi="Calibri"/>
          <w:color w:val="334155"/>
          <w:sz w:val="22"/>
          <w:szCs w:val="22"/>
        </w:rPr>
        <w:t xml:space="preserve">Sorted by days remaining, ascending.</w:t>
      </w:r>
    </w:p>
    <w:p>
      <w:pPr>
        <w:pStyle w:val="ListParagraph"/>
        <w:numPr>
          <w:ilvl w:val="0"/>
          <w:numId w:val="2"/>
        </w:numPr>
        <w:spacing w:after="80" w:line="290"/>
      </w:pPr>
      <w:r>
        <w:rPr>
          <w:rFonts w:ascii="Calibri" w:cs="Calibri" w:eastAsia="Calibri" w:hAnsi="Calibri"/>
          <w:color w:val="334155"/>
          <w:sz w:val="22"/>
          <w:szCs w:val="22"/>
        </w:rPr>
        <w:t xml:space="preserve">Colour coded: red (&lt; 30 days), amber (&lt; 90 days), green (&gt; 90 days).</w:t>
      </w:r>
    </w:p>
    <w:p>
      <w:pPr>
        <w:pStyle w:val="ListParagraph"/>
        <w:numPr>
          <w:ilvl w:val="0"/>
          <w:numId w:val="2"/>
        </w:numPr>
        <w:spacing w:after="80" w:line="290"/>
      </w:pPr>
      <w:r>
        <w:rPr>
          <w:rFonts w:ascii="Calibri" w:cs="Calibri" w:eastAsia="Calibri" w:hAnsi="Calibri"/>
          <w:color w:val="334155"/>
          <w:sz w:val="22"/>
          <w:szCs w:val="22"/>
        </w:rPr>
        <w:t xml:space="preserve">Auto-emails the relevant owner X days before expiry (configurable per category).</w:t>
      </w:r>
    </w:p>
    <w:p>
      <w:pPr>
        <w:pStyle w:val="ListParagraph"/>
        <w:numPr>
          <w:ilvl w:val="0"/>
          <w:numId w:val="2"/>
        </w:numPr>
        <w:spacing w:after="80" w:line="290"/>
      </w:pPr>
      <w:r>
        <w:rPr>
          <w:rFonts w:ascii="Calibri" w:cs="Calibri" w:eastAsia="Calibri" w:hAnsi="Calibri"/>
          <w:color w:val="334155"/>
          <w:sz w:val="22"/>
          <w:szCs w:val="22"/>
        </w:rPr>
        <w:t xml:space="preserve">Click any item to jump to the source record (employee, client, company).</w:t>
      </w:r>
    </w:p>
    <w:p>
      <w:pPr>
        <w:pStyle w:val="Heading2"/>
        <w:spacing w:after="100" w:before="280"/>
      </w:pPr>
      <w:r>
        <w:rPr>
          <w:rFonts w:ascii="Calibri" w:cs="Calibri" w:eastAsia="Calibri" w:hAnsi="Calibri"/>
          <w:b/>
          <w:bCs/>
          <w:color w:val="0F172A"/>
          <w:sz w:val="28"/>
          <w:szCs w:val="28"/>
        </w:rPr>
        <w:t xml:space="preserve">4.4 Client Portal (future, plan for it)</w:t>
      </w:r>
    </w:p>
    <w:p>
      <w:pPr>
        <w:spacing w:after="120" w:before="0" w:line="300"/>
        <w:jc w:val="left"/>
      </w:pPr>
      <w:r>
        <w:rPr>
          <w:rFonts w:ascii="Calibri" w:cs="Calibri" w:eastAsia="Calibri" w:hAnsi="Calibri"/>
          <w:b w:val="false"/>
          <w:bCs w:val="false"/>
          <w:i w:val="false"/>
          <w:iCs w:val="false"/>
          <w:color w:val="334155"/>
          <w:sz w:val="22"/>
          <w:szCs w:val="22"/>
        </w:rPr>
        <w:t xml:space="preserve">Build the backend in a way that supports this from day one, even if the UI ships later. A read-only portal where clients can self-serve removes the bulk of "can you send me…" emails and is a strong sales feature in itself.</w:t>
      </w:r>
    </w:p>
    <w:p>
      <w:pPr>
        <w:pStyle w:val="ListParagraph"/>
        <w:numPr>
          <w:ilvl w:val="0"/>
          <w:numId w:val="2"/>
        </w:numPr>
        <w:spacing w:after="80" w:line="290"/>
      </w:pPr>
      <w:r>
        <w:rPr>
          <w:rFonts w:ascii="Calibri" w:cs="Calibri" w:eastAsia="Calibri" w:hAnsi="Calibri"/>
          <w:color w:val="334155"/>
          <w:sz w:val="22"/>
          <w:szCs w:val="22"/>
        </w:rPr>
        <w:t xml:space="preserve">Their attendance summary.</w:t>
      </w:r>
    </w:p>
    <w:p>
      <w:pPr>
        <w:pStyle w:val="ListParagraph"/>
        <w:numPr>
          <w:ilvl w:val="0"/>
          <w:numId w:val="2"/>
        </w:numPr>
        <w:spacing w:after="80" w:line="290"/>
      </w:pPr>
      <w:r>
        <w:rPr>
          <w:rFonts w:ascii="Calibri" w:cs="Calibri" w:eastAsia="Calibri" w:hAnsi="Calibri"/>
          <w:color w:val="334155"/>
          <w:sz w:val="22"/>
          <w:szCs w:val="22"/>
        </w:rPr>
        <w:t xml:space="preserve">Their outstanding invoices and payments.</w:t>
      </w:r>
    </w:p>
    <w:p>
      <w:pPr>
        <w:pStyle w:val="ListParagraph"/>
        <w:numPr>
          <w:ilvl w:val="0"/>
          <w:numId w:val="2"/>
        </w:numPr>
        <w:spacing w:after="80" w:line="290"/>
      </w:pPr>
      <w:r>
        <w:rPr>
          <w:rFonts w:ascii="Calibri" w:cs="Calibri" w:eastAsia="Calibri" w:hAnsi="Calibri"/>
          <w:color w:val="334155"/>
          <w:sz w:val="22"/>
          <w:szCs w:val="22"/>
        </w:rPr>
        <w:t xml:space="preserve">Their site incident log.</w:t>
      </w:r>
    </w:p>
    <w:p>
      <w:pPr>
        <w:pStyle w:val="ListParagraph"/>
        <w:numPr>
          <w:ilvl w:val="0"/>
          <w:numId w:val="2"/>
        </w:numPr>
        <w:spacing w:after="80" w:line="290"/>
      </w:pPr>
      <w:r>
        <w:rPr>
          <w:rFonts w:ascii="Calibri" w:cs="Calibri" w:eastAsia="Calibri" w:hAnsi="Calibri"/>
          <w:color w:val="334155"/>
          <w:sz w:val="22"/>
          <w:szCs w:val="22"/>
        </w:rPr>
        <w:t xml:space="preserve">Their contract details and renewal dates.</w:t>
      </w:r>
    </w:p>
    <w:p>
      <w:pPr>
        <w:pStyle w:val="ListParagraph"/>
        <w:numPr>
          <w:ilvl w:val="0"/>
          <w:numId w:val="2"/>
        </w:numPr>
        <w:spacing w:after="80" w:line="290"/>
      </w:pPr>
      <w:r>
        <w:rPr>
          <w:rFonts w:ascii="Calibri" w:cs="Calibri" w:eastAsia="Calibri" w:hAnsi="Calibri"/>
          <w:color w:val="334155"/>
          <w:sz w:val="22"/>
          <w:szCs w:val="22"/>
        </w:rPr>
        <w:t xml:space="preserve">Download statements directly.</w:t>
      </w:r>
    </w:p>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5. AI Assistant Integration</w:t>
      </w:r>
    </w:p>
    <w:p>
      <w:pPr>
        <w:spacing w:after="120" w:before="0" w:line="300"/>
        <w:jc w:val="left"/>
      </w:pPr>
      <w:r>
        <w:rPr>
          <w:rFonts w:ascii="Calibri" w:cs="Calibri" w:eastAsia="Calibri" w:hAnsi="Calibri"/>
          <w:b w:val="false"/>
          <w:bCs w:val="false"/>
          <w:i w:val="false"/>
          <w:iCs w:val="false"/>
          <w:color w:val="334155"/>
          <w:sz w:val="22"/>
          <w:szCs w:val="22"/>
        </w:rPr>
        <w:t xml:space="preserve">The AI Assistant is one of the strongest differentiators TECHXSERVE offers. Keep it floating on every page, but structure it correctly.</w:t>
      </w:r>
    </w:p>
    <w:p>
      <w:pPr>
        <w:pStyle w:val="Heading2"/>
        <w:spacing w:after="100" w:before="280"/>
      </w:pPr>
      <w:r>
        <w:rPr>
          <w:rFonts w:ascii="Calibri" w:cs="Calibri" w:eastAsia="Calibri" w:hAnsi="Calibri"/>
          <w:b/>
          <w:bCs/>
          <w:color w:val="0F172A"/>
          <w:sz w:val="28"/>
          <w:szCs w:val="28"/>
        </w:rPr>
        <w:t xml:space="preserve">5.1 Where it lives</w:t>
      </w:r>
    </w:p>
    <w:p>
      <w:pPr>
        <w:pStyle w:val="ListParagraph"/>
        <w:numPr>
          <w:ilvl w:val="0"/>
          <w:numId w:val="2"/>
        </w:numPr>
        <w:spacing w:after="80" w:line="290"/>
      </w:pPr>
      <w:r>
        <w:rPr>
          <w:rFonts w:ascii="Calibri" w:cs="Calibri" w:eastAsia="Calibri" w:hAnsi="Calibri"/>
          <w:b/>
          <w:bCs/>
          <w:color w:val="0F172A"/>
          <w:sz w:val="22"/>
          <w:szCs w:val="22"/>
        </w:rPr>
        <w:t xml:space="preserve">Primary entry:</w:t>
      </w:r>
      <w:r>
        <w:rPr>
          <w:rFonts w:ascii="Calibri" w:cs="Calibri" w:eastAsia="Calibri" w:hAnsi="Calibri"/>
          <w:color w:val="334155"/>
          <w:sz w:val="22"/>
          <w:szCs w:val="22"/>
        </w:rPr>
        <w:t xml:space="preserve"> Floating action button (FAB) at bottom centre or bottom right of every screen. Already implemented.</w:t>
      </w:r>
    </w:p>
    <w:p>
      <w:pPr>
        <w:pStyle w:val="ListParagraph"/>
        <w:numPr>
          <w:ilvl w:val="0"/>
          <w:numId w:val="2"/>
        </w:numPr>
        <w:spacing w:after="80" w:line="290"/>
      </w:pPr>
      <w:r>
        <w:rPr>
          <w:rFonts w:ascii="Calibri" w:cs="Calibri" w:eastAsia="Calibri" w:hAnsi="Calibri"/>
          <w:b/>
          <w:bCs/>
          <w:color w:val="0F172A"/>
          <w:sz w:val="22"/>
          <w:szCs w:val="22"/>
        </w:rPr>
        <w:t xml:space="preserve">Configuration:</w:t>
      </w:r>
      <w:r>
        <w:rPr>
          <w:rFonts w:ascii="Calibri" w:cs="Calibri" w:eastAsia="Calibri" w:hAnsi="Calibri"/>
          <w:color w:val="334155"/>
          <w:sz w:val="22"/>
          <w:szCs w:val="22"/>
        </w:rPr>
        <w:t xml:space="preserve"> In Settings, under a new "AI Assistant" section. This is where the admin configures the assistant.</w:t>
      </w:r>
    </w:p>
    <w:p>
      <w:pPr>
        <w:pStyle w:val="ListParagraph"/>
        <w:numPr>
          <w:ilvl w:val="0"/>
          <w:numId w:val="2"/>
        </w:numPr>
        <w:spacing w:after="80" w:line="290"/>
      </w:pPr>
      <w:r>
        <w:rPr>
          <w:rFonts w:ascii="Calibri" w:cs="Calibri" w:eastAsia="Calibri" w:hAnsi="Calibri"/>
          <w:b/>
          <w:bCs/>
          <w:color w:val="0F172A"/>
          <w:sz w:val="22"/>
          <w:szCs w:val="22"/>
        </w:rPr>
        <w:t xml:space="preserve">History:</w:t>
      </w:r>
      <w:r>
        <w:rPr>
          <w:rFonts w:ascii="Calibri" w:cs="Calibri" w:eastAsia="Calibri" w:hAnsi="Calibri"/>
          <w:color w:val="334155"/>
          <w:sz w:val="22"/>
          <w:szCs w:val="22"/>
        </w:rPr>
        <w:t xml:space="preserve"> A history tab inside the chat panel itself, not a separate sidebar destination.</w:t>
      </w:r>
    </w:p>
    <w:p>
      <w:pPr>
        <w:spacing w:after="120"/>
      </w:pPr>
      <w:r>
        <w:t xml:space="preserve"/>
      </w:r>
    </w:p>
    <w:tbl>
      <w:tblPr>
        <w:tblW w:type="dxa" w:w="9360"/>
        <w:tblBorders>
          <w:top w:val="single" w:color="DC2626" w:sz="6"/>
          <w:left w:val="single" w:color="DC2626" w:sz="18"/>
          <w:bottom w:val="single" w:color="DC2626" w:sz="6"/>
          <w:right w:val="single" w:color="DC2626" w:sz="6"/>
          <w:insideH w:val="none" w:color="FFFFFF" w:sz="0"/>
          <w:insideV w:val="none" w:color="FFFFFF" w:sz="0"/>
        </w:tblBorders>
      </w:tblPr>
      <w:tblGrid>
        <w:gridCol w:w="9360"/>
      </w:tblGrid>
      <w:tr>
        <w:tc>
          <w:tcPr>
            <w:tcW w:type="dxa" w:w="9360"/>
            <w:shd w:fill="EFF6FF" w:val="clear"/>
            <w:tcMar>
              <w:top w:type="dxa" w:w="180"/>
              <w:left w:type="dxa" w:w="240"/>
              <w:bottom w:type="dxa" w:w="180"/>
              <w:right w:type="dxa" w:w="240"/>
            </w:tcMar>
          </w:tcPr>
          <w:p>
            <w:pPr>
              <w:spacing w:after="80"/>
            </w:pPr>
            <w:r>
              <w:rPr>
                <w:rFonts w:ascii="Calibri" w:cs="Calibri" w:eastAsia="Calibri" w:hAnsi="Calibri"/>
                <w:b/>
                <w:bCs/>
                <w:color w:val="991B1B"/>
                <w:sz w:val="22"/>
                <w:szCs w:val="22"/>
              </w:rPr>
              <w:t xml:space="preserve">Do not add a sidebar entry for the AI Assistant</w:t>
            </w:r>
          </w:p>
          <w:p>
            <w:pPr>
              <w:spacing w:after="0" w:line="300"/>
            </w:pPr>
            <w:r>
              <w:rPr>
                <w:rFonts w:ascii="Calibri" w:cs="Calibri" w:eastAsia="Calibri" w:hAnsi="Calibri"/>
                <w:color w:val="334155"/>
                <w:sz w:val="22"/>
                <w:szCs w:val="22"/>
              </w:rPr>
              <w:t xml:space="preserve">A floating assistant is contextual: it knows what page the user is on and offers relevant prompts. Promoting it to a sidebar destination forces it to be a "place to go," which breaks the assistant metaphor and starts competing with the modules for attention.</w:t>
            </w:r>
          </w:p>
        </w:tc>
      </w:tr>
    </w:tbl>
    <w:p>
      <w:pPr>
        <w:pStyle w:val="Heading2"/>
        <w:spacing w:after="100" w:before="280"/>
      </w:pPr>
      <w:r>
        <w:rPr>
          <w:rFonts w:ascii="Calibri" w:cs="Calibri" w:eastAsia="Calibri" w:hAnsi="Calibri"/>
          <w:b/>
          <w:bCs/>
          <w:color w:val="0F172A"/>
          <w:sz w:val="28"/>
          <w:szCs w:val="28"/>
        </w:rPr>
        <w:t xml:space="preserve">5.2 Settings → AI Assistant configuration</w:t>
      </w:r>
    </w:p>
    <w:p>
      <w:pPr>
        <w:pStyle w:val="ListParagraph"/>
        <w:numPr>
          <w:ilvl w:val="0"/>
          <w:numId w:val="2"/>
        </w:numPr>
        <w:spacing w:after="80" w:line="290"/>
      </w:pPr>
      <w:r>
        <w:rPr>
          <w:rFonts w:ascii="Calibri" w:cs="Calibri" w:eastAsia="Calibri" w:hAnsi="Calibri"/>
          <w:color w:val="334155"/>
          <w:sz w:val="22"/>
          <w:szCs w:val="22"/>
        </w:rPr>
        <w:t xml:space="preserve">Which modules the AI can read (per module checkboxes).</w:t>
      </w:r>
    </w:p>
    <w:p>
      <w:pPr>
        <w:pStyle w:val="ListParagraph"/>
        <w:numPr>
          <w:ilvl w:val="0"/>
          <w:numId w:val="2"/>
        </w:numPr>
        <w:spacing w:after="80" w:line="290"/>
      </w:pPr>
      <w:r>
        <w:rPr>
          <w:rFonts w:ascii="Calibri" w:cs="Calibri" w:eastAsia="Calibri" w:hAnsi="Calibri"/>
          <w:color w:val="334155"/>
          <w:sz w:val="22"/>
          <w:szCs w:val="22"/>
        </w:rPr>
        <w:t xml:space="preserve">Which modules the AI can write to / take actions in.</w:t>
      </w:r>
    </w:p>
    <w:p>
      <w:pPr>
        <w:pStyle w:val="ListParagraph"/>
        <w:numPr>
          <w:ilvl w:val="0"/>
          <w:numId w:val="2"/>
        </w:numPr>
        <w:spacing w:after="80" w:line="290"/>
      </w:pPr>
      <w:r>
        <w:rPr>
          <w:rFonts w:ascii="Calibri" w:cs="Calibri" w:eastAsia="Calibri" w:hAnsi="Calibri"/>
          <w:color w:val="334155"/>
          <w:sz w:val="22"/>
          <w:szCs w:val="22"/>
        </w:rPr>
        <w:t xml:space="preserve">Allowed users (Super Admin only, or all users, or a custom whitelist).</w:t>
      </w:r>
    </w:p>
    <w:p>
      <w:pPr>
        <w:pStyle w:val="ListParagraph"/>
        <w:numPr>
          <w:ilvl w:val="0"/>
          <w:numId w:val="2"/>
        </w:numPr>
        <w:spacing w:after="80" w:line="290"/>
      </w:pPr>
      <w:r>
        <w:rPr>
          <w:rFonts w:ascii="Calibri" w:cs="Calibri" w:eastAsia="Calibri" w:hAnsi="Calibri"/>
          <w:color w:val="334155"/>
          <w:sz w:val="22"/>
          <w:szCs w:val="22"/>
        </w:rPr>
        <w:t xml:space="preserve">Conversation history retention period (30 / 60 / 90 days or "indefinite").</w:t>
      </w:r>
    </w:p>
    <w:p>
      <w:pPr>
        <w:pStyle w:val="ListParagraph"/>
        <w:numPr>
          <w:ilvl w:val="0"/>
          <w:numId w:val="2"/>
        </w:numPr>
        <w:spacing w:after="80" w:line="290"/>
      </w:pPr>
      <w:r>
        <w:rPr>
          <w:rFonts w:ascii="Calibri" w:cs="Calibri" w:eastAsia="Calibri" w:hAnsi="Calibri"/>
          <w:color w:val="334155"/>
          <w:sz w:val="22"/>
          <w:szCs w:val="22"/>
        </w:rPr>
        <w:t xml:space="preserve">Default response language (English, Urdu, Roman Urdu, "auto-detect").</w:t>
      </w:r>
    </w:p>
    <w:p>
      <w:pPr>
        <w:pStyle w:val="ListParagraph"/>
        <w:numPr>
          <w:ilvl w:val="0"/>
          <w:numId w:val="2"/>
        </w:numPr>
        <w:spacing w:after="80" w:line="290"/>
      </w:pPr>
      <w:r>
        <w:rPr>
          <w:rFonts w:ascii="Calibri" w:cs="Calibri" w:eastAsia="Calibri" w:hAnsi="Calibri"/>
          <w:color w:val="334155"/>
          <w:sz w:val="22"/>
          <w:szCs w:val="22"/>
        </w:rPr>
        <w:t xml:space="preserve">Tone presets (formal, conversational).</w:t>
      </w:r>
    </w:p>
    <w:p>
      <w:pPr>
        <w:pStyle w:val="ListParagraph"/>
        <w:numPr>
          <w:ilvl w:val="0"/>
          <w:numId w:val="2"/>
        </w:numPr>
        <w:spacing w:after="80" w:line="290"/>
      </w:pPr>
      <w:r>
        <w:rPr>
          <w:rFonts w:ascii="Calibri" w:cs="Calibri" w:eastAsia="Calibri" w:hAnsi="Calibri"/>
          <w:color w:val="334155"/>
          <w:sz w:val="22"/>
          <w:szCs w:val="22"/>
        </w:rPr>
        <w:t xml:space="preserve">Custom instructions field (free text the admin can add, like "Always include PKR in numeric answers" or "Never mention competitor names").</w:t>
      </w:r>
    </w:p>
    <w:p>
      <w:pPr>
        <w:pStyle w:val="Heading2"/>
        <w:spacing w:after="100" w:before="280"/>
      </w:pPr>
      <w:r>
        <w:rPr>
          <w:rFonts w:ascii="Calibri" w:cs="Calibri" w:eastAsia="Calibri" w:hAnsi="Calibri"/>
          <w:b/>
          <w:bCs/>
          <w:color w:val="0F172A"/>
          <w:sz w:val="28"/>
          <w:szCs w:val="28"/>
        </w:rPr>
        <w:t xml:space="preserve">5.3 Page-aware behaviour</w:t>
      </w:r>
    </w:p>
    <w:p>
      <w:pPr>
        <w:spacing w:after="120" w:before="0" w:line="300"/>
        <w:jc w:val="left"/>
      </w:pPr>
      <w:r>
        <w:rPr>
          <w:rFonts w:ascii="Calibri" w:cs="Calibri" w:eastAsia="Calibri" w:hAnsi="Calibri"/>
          <w:b w:val="false"/>
          <w:bCs w:val="false"/>
          <w:i w:val="false"/>
          <w:iCs w:val="false"/>
          <w:color w:val="334155"/>
          <w:sz w:val="22"/>
          <w:szCs w:val="22"/>
        </w:rPr>
        <w:t xml:space="preserve">The opening prompt and suggested questions inside the chat panel should adapt to whichever page the user is on. This is what turns a chatbot into an assistant.</w:t>
      </w:r>
    </w:p>
    <w:p>
      <w:pPr>
        <w:pStyle w:val="Heading3"/>
        <w:spacing w:after="80" w:before="220"/>
      </w:pPr>
      <w:r>
        <w:rPr>
          <w:rFonts w:ascii="Calibri" w:cs="Calibri" w:eastAsia="Calibri" w:hAnsi="Calibri"/>
          <w:b/>
          <w:bCs/>
          <w:color w:val="DC2626"/>
          <w:sz w:val="24"/>
          <w:szCs w:val="24"/>
        </w:rPr>
        <w:t xml:space="preserve">Examples</w:t>
      </w:r>
    </w:p>
    <w:p>
      <w:pPr>
        <w:pStyle w:val="ListParagraph"/>
        <w:numPr>
          <w:ilvl w:val="0"/>
          <w:numId w:val="2"/>
        </w:numPr>
        <w:spacing w:after="80" w:line="290"/>
      </w:pPr>
      <w:r>
        <w:rPr>
          <w:rFonts w:ascii="Calibri" w:cs="Calibri" w:eastAsia="Calibri" w:hAnsi="Calibri"/>
          <w:b/>
          <w:bCs/>
          <w:color w:val="0F172A"/>
          <w:sz w:val="22"/>
          <w:szCs w:val="22"/>
        </w:rPr>
        <w:t xml:space="preserve">On Employees:</w:t>
      </w:r>
      <w:r>
        <w:rPr>
          <w:rFonts w:ascii="Calibri" w:cs="Calibri" w:eastAsia="Calibri" w:hAnsi="Calibri"/>
          <w:color w:val="334155"/>
          <w:sz w:val="22"/>
          <w:szCs w:val="22"/>
        </w:rPr>
        <w:t xml:space="preserve"> "Show me employees with documents missing." / "Who has no police verification?"</w:t>
      </w:r>
    </w:p>
    <w:p>
      <w:pPr>
        <w:pStyle w:val="ListParagraph"/>
        <w:numPr>
          <w:ilvl w:val="0"/>
          <w:numId w:val="2"/>
        </w:numPr>
        <w:spacing w:after="80" w:line="290"/>
      </w:pPr>
      <w:r>
        <w:rPr>
          <w:rFonts w:ascii="Calibri" w:cs="Calibri" w:eastAsia="Calibri" w:hAnsi="Calibri"/>
          <w:b/>
          <w:bCs/>
          <w:color w:val="0F172A"/>
          <w:sz w:val="22"/>
          <w:szCs w:val="22"/>
        </w:rPr>
        <w:t xml:space="preserve">On Attendance:</w:t>
      </w:r>
      <w:r>
        <w:rPr>
          <w:rFonts w:ascii="Calibri" w:cs="Calibri" w:eastAsia="Calibri" w:hAnsi="Calibri"/>
          <w:color w:val="334155"/>
          <w:sz w:val="22"/>
          <w:szCs w:val="22"/>
        </w:rPr>
        <w:t xml:space="preserve"> "Who was absent yesterday across all clients?" / "Mark all SSG guards present today."</w:t>
      </w:r>
    </w:p>
    <w:p>
      <w:pPr>
        <w:pStyle w:val="ListParagraph"/>
        <w:numPr>
          <w:ilvl w:val="0"/>
          <w:numId w:val="2"/>
        </w:numPr>
        <w:spacing w:after="80" w:line="290"/>
      </w:pPr>
      <w:r>
        <w:rPr>
          <w:rFonts w:ascii="Calibri" w:cs="Calibri" w:eastAsia="Calibri" w:hAnsi="Calibri"/>
          <w:b/>
          <w:bCs/>
          <w:color w:val="0F172A"/>
          <w:sz w:val="22"/>
          <w:szCs w:val="22"/>
        </w:rPr>
        <w:t xml:space="preserve">On Payroll:</w:t>
      </w:r>
      <w:r>
        <w:rPr>
          <w:rFonts w:ascii="Calibri" w:cs="Calibri" w:eastAsia="Calibri" w:hAnsi="Calibri"/>
          <w:color w:val="334155"/>
          <w:sz w:val="22"/>
          <w:szCs w:val="22"/>
        </w:rPr>
        <w:t xml:space="preserve"> "Why is this month’s payroll higher than last month?" / "Show all advances over PKR 5,000."</w:t>
      </w:r>
    </w:p>
    <w:p>
      <w:pPr>
        <w:pStyle w:val="ListParagraph"/>
        <w:numPr>
          <w:ilvl w:val="0"/>
          <w:numId w:val="2"/>
        </w:numPr>
        <w:spacing w:after="80" w:line="290"/>
      </w:pPr>
      <w:r>
        <w:rPr>
          <w:rFonts w:ascii="Calibri" w:cs="Calibri" w:eastAsia="Calibri" w:hAnsi="Calibri"/>
          <w:b/>
          <w:bCs/>
          <w:color w:val="0F172A"/>
          <w:sz w:val="22"/>
          <w:szCs w:val="22"/>
        </w:rPr>
        <w:t xml:space="preserve">On Invoices:</w:t>
      </w:r>
      <w:r>
        <w:rPr>
          <w:rFonts w:ascii="Calibri" w:cs="Calibri" w:eastAsia="Calibri" w:hAnsi="Calibri"/>
          <w:color w:val="334155"/>
          <w:sz w:val="22"/>
          <w:szCs w:val="22"/>
        </w:rPr>
        <w:t xml:space="preserve"> "Which clients are overdue?" / "Generate this month’s invoices for all auto-billing clients."</w:t>
      </w:r>
    </w:p>
    <w:p>
      <w:pPr>
        <w:pStyle w:val="ListParagraph"/>
        <w:numPr>
          <w:ilvl w:val="0"/>
          <w:numId w:val="2"/>
        </w:numPr>
        <w:spacing w:after="80" w:line="290"/>
      </w:pPr>
      <w:r>
        <w:rPr>
          <w:rFonts w:ascii="Calibri" w:cs="Calibri" w:eastAsia="Calibri" w:hAnsi="Calibri"/>
          <w:b/>
          <w:bCs/>
          <w:color w:val="0F172A"/>
          <w:sz w:val="22"/>
          <w:szCs w:val="22"/>
        </w:rPr>
        <w:t xml:space="preserve">On Compliance:</w:t>
      </w:r>
      <w:r>
        <w:rPr>
          <w:rFonts w:ascii="Calibri" w:cs="Calibri" w:eastAsia="Calibri" w:hAnsi="Calibri"/>
          <w:color w:val="334155"/>
          <w:sz w:val="22"/>
          <w:szCs w:val="22"/>
        </w:rPr>
        <w:t xml:space="preserve"> "What expires in the next 30 days?" / "Show all weapon licences expiring this quarter."</w:t>
      </w:r>
    </w:p>
    <w:p>
      <w:pPr>
        <w:pStyle w:val="Heading2"/>
        <w:spacing w:after="100" w:before="280"/>
      </w:pPr>
      <w:r>
        <w:rPr>
          <w:rFonts w:ascii="Calibri" w:cs="Calibri" w:eastAsia="Calibri" w:hAnsi="Calibri"/>
          <w:b/>
          <w:bCs/>
          <w:color w:val="0F172A"/>
          <w:sz w:val="28"/>
          <w:szCs w:val="28"/>
        </w:rPr>
        <w:t xml:space="preserve">5.4 Voice and language</w:t>
      </w:r>
    </w:p>
    <w:p>
      <w:pPr>
        <w:spacing w:after="120" w:before="0" w:line="300"/>
        <w:jc w:val="left"/>
      </w:pPr>
      <w:r>
        <w:rPr>
          <w:rFonts w:ascii="Calibri" w:cs="Calibri" w:eastAsia="Calibri" w:hAnsi="Calibri"/>
          <w:b w:val="false"/>
          <w:bCs w:val="false"/>
          <w:i w:val="false"/>
          <w:iCs w:val="false"/>
          <w:color w:val="334155"/>
          <w:sz w:val="22"/>
          <w:szCs w:val="22"/>
        </w:rPr>
        <w:t xml:space="preserve">Pakistani users frequently switch between English, Urdu, and Roman Urdu mid-sentence. The assistant must handle all three gracefully. Build the prompt template so language detection happens per message, not per session.</w:t>
      </w:r>
    </w:p>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6. Architectural Patterns</w:t>
      </w:r>
    </w:p>
    <w:p>
      <w:pPr>
        <w:pStyle w:val="Heading2"/>
        <w:spacing w:after="100" w:before="280"/>
      </w:pPr>
      <w:r>
        <w:rPr>
          <w:rFonts w:ascii="Calibri" w:cs="Calibri" w:eastAsia="Calibri" w:hAnsi="Calibri"/>
          <w:b/>
          <w:bCs/>
          <w:color w:val="0F172A"/>
          <w:sz w:val="28"/>
          <w:szCs w:val="28"/>
        </w:rPr>
        <w:t xml:space="preserve">6.1 The anchor record pattern</w:t>
      </w:r>
    </w:p>
    <w:p>
      <w:pPr>
        <w:spacing w:after="120" w:before="0" w:line="300"/>
        <w:jc w:val="left"/>
      </w:pPr>
      <w:r>
        <w:rPr>
          <w:rFonts w:ascii="Calibri" w:cs="Calibri" w:eastAsia="Calibri" w:hAnsi="Calibri"/>
          <w:b w:val="false"/>
          <w:bCs w:val="false"/>
          <w:i w:val="false"/>
          <w:iCs w:val="false"/>
          <w:color w:val="334155"/>
          <w:sz w:val="22"/>
          <w:szCs w:val="22"/>
        </w:rPr>
        <w:t xml:space="preserve">Every transaction in the system must anchor to one of three master records: Employee, Client, or Contract. If an expense, invoice, attendance mark, or payroll line cannot be tagged to one of those, profitability cannot be sliced correctly.</w:t>
      </w:r>
    </w:p>
    <w:p>
      <w:pPr>
        <w:spacing w:after="120" w:before="0" w:line="300"/>
        <w:jc w:val="left"/>
      </w:pPr>
      <w:r>
        <w:rPr>
          <w:rFonts w:ascii="Calibri" w:cs="Calibri" w:eastAsia="Calibri" w:hAnsi="Calibri"/>
          <w:b w:val="false"/>
          <w:bCs w:val="false"/>
          <w:i w:val="false"/>
          <w:iCs w:val="false"/>
          <w:color w:val="334155"/>
          <w:sz w:val="22"/>
          <w:szCs w:val="22"/>
        </w:rPr>
        <w:t xml:space="preserve">Enforce the tag at creation. No silent defaults. If the user wants to log a general office expense with no client tag, the form should explicitly require selecting "Company Overhead" as the anchor.</w:t>
      </w:r>
    </w:p>
    <w:p>
      <w:pPr>
        <w:pStyle w:val="Heading2"/>
        <w:spacing w:after="100" w:before="280"/>
      </w:pPr>
      <w:r>
        <w:rPr>
          <w:rFonts w:ascii="Calibri" w:cs="Calibri" w:eastAsia="Calibri" w:hAnsi="Calibri"/>
          <w:b/>
          <w:bCs/>
          <w:color w:val="0F172A"/>
          <w:sz w:val="28"/>
          <w:szCs w:val="28"/>
        </w:rPr>
        <w:t xml:space="preserve">6.2 The double-entry shadow pattern</w:t>
      </w:r>
    </w:p>
    <w:p>
      <w:pPr>
        <w:spacing w:after="120" w:before="0" w:line="300"/>
        <w:jc w:val="left"/>
      </w:pPr>
      <w:r>
        <w:rPr>
          <w:rFonts w:ascii="Calibri" w:cs="Calibri" w:eastAsia="Calibri" w:hAnsi="Calibri"/>
          <w:b w:val="false"/>
          <w:bCs w:val="false"/>
          <w:i w:val="false"/>
          <w:iCs w:val="false"/>
          <w:color w:val="334155"/>
          <w:sz w:val="22"/>
          <w:szCs w:val="22"/>
        </w:rPr>
        <w:t xml:space="preserve">Behind every user-facing transaction, the system must silently post a journal entry against a Chart of Accounts. Users never see the journal; accountants and auditors can pull a Trial Balance at any time.</w:t>
      </w:r>
    </w:p>
    <w:p>
      <w:pPr>
        <w:spacing w:after="120" w:before="0" w:line="300"/>
        <w:jc w:val="left"/>
      </w:pPr>
      <w:r>
        <w:rPr>
          <w:rFonts w:ascii="Calibri" w:cs="Calibri" w:eastAsia="Calibri" w:hAnsi="Calibri"/>
          <w:b w:val="false"/>
          <w:bCs w:val="false"/>
          <w:i w:val="false"/>
          <w:iCs w:val="false"/>
          <w:color w:val="334155"/>
          <w:sz w:val="22"/>
          <w:szCs w:val="22"/>
        </w:rPr>
        <w:t xml:space="preserve">This is the difference between "looks like accounting software" and "is accounting software." It is required for SixthLedger to give the system any kind of compliance sign-off.</w:t>
      </w:r>
    </w:p>
    <w:p>
      <w:pPr>
        <w:pStyle w:val="Heading2"/>
        <w:spacing w:after="100" w:before="280"/>
      </w:pPr>
      <w:r>
        <w:rPr>
          <w:rFonts w:ascii="Calibri" w:cs="Calibri" w:eastAsia="Calibri" w:hAnsi="Calibri"/>
          <w:b/>
          <w:bCs/>
          <w:color w:val="0F172A"/>
          <w:sz w:val="28"/>
          <w:szCs w:val="28"/>
        </w:rPr>
        <w:t xml:space="preserve">6.3 The permission inheritance pattern</w:t>
      </w:r>
    </w:p>
    <w:p>
      <w:pPr>
        <w:spacing w:after="120" w:before="0" w:line="300"/>
        <w:jc w:val="left"/>
      </w:pPr>
      <w:r>
        <w:rPr>
          <w:rFonts w:ascii="Calibri" w:cs="Calibri" w:eastAsia="Calibri" w:hAnsi="Calibri"/>
          <w:b w:val="false"/>
          <w:bCs w:val="false"/>
          <w:i w:val="false"/>
          <w:iCs w:val="false"/>
          <w:color w:val="334155"/>
          <w:sz w:val="22"/>
          <w:szCs w:val="22"/>
        </w:rPr>
        <w:t xml:space="preserve">Permissions should cascade: Branch → Client → Employee. A user granted access to "Lahore Branch" automatically sees all Lahore clients and Lahore employees without you manually granting each.</w:t>
      </w:r>
    </w:p>
    <w:p>
      <w:pPr>
        <w:spacing w:after="120" w:before="0" w:line="300"/>
        <w:jc w:val="left"/>
      </w:pPr>
      <w:r>
        <w:rPr>
          <w:rFonts w:ascii="Calibri" w:cs="Calibri" w:eastAsia="Calibri" w:hAnsi="Calibri"/>
          <w:b w:val="false"/>
          <w:bCs w:val="false"/>
          <w:i w:val="false"/>
          <w:iCs w:val="false"/>
          <w:color w:val="334155"/>
          <w:sz w:val="22"/>
          <w:szCs w:val="22"/>
        </w:rPr>
        <w:t xml:space="preserve">The current per-module checkbox approach is fine for small teams but will not scale past 20 users. Implement branch-scoped access alongside the existing module-scoped permissions.</w:t>
      </w:r>
    </w:p>
    <w:p>
      <w:pPr>
        <w:pStyle w:val="Heading2"/>
        <w:spacing w:after="100" w:before="280"/>
      </w:pPr>
      <w:r>
        <w:rPr>
          <w:rFonts w:ascii="Calibri" w:cs="Calibri" w:eastAsia="Calibri" w:hAnsi="Calibri"/>
          <w:b/>
          <w:bCs/>
          <w:color w:val="0F172A"/>
          <w:sz w:val="28"/>
          <w:szCs w:val="28"/>
        </w:rPr>
        <w:t xml:space="preserve">6.4 The soft delete and audit log pattern</w:t>
      </w:r>
    </w:p>
    <w:p>
      <w:pPr>
        <w:spacing w:after="120" w:before="0" w:line="300"/>
        <w:jc w:val="left"/>
      </w:pPr>
      <w:r>
        <w:rPr>
          <w:rFonts w:ascii="Calibri" w:cs="Calibri" w:eastAsia="Calibri" w:hAnsi="Calibri"/>
          <w:b w:val="false"/>
          <w:bCs w:val="false"/>
          <w:i w:val="false"/>
          <w:iCs w:val="false"/>
          <w:color w:val="334155"/>
          <w:sz w:val="22"/>
          <w:szCs w:val="22"/>
        </w:rPr>
        <w:t xml:space="preserve">No record is ever hard-deleted. Every record carries:</w:t>
      </w:r>
    </w:p>
    <w:p>
      <w:pPr>
        <w:pStyle w:val="ListParagraph"/>
        <w:numPr>
          <w:ilvl w:val="0"/>
          <w:numId w:val="2"/>
        </w:numPr>
        <w:spacing w:after="80" w:line="290"/>
      </w:pPr>
      <w:r>
        <w:rPr>
          <w:rFonts w:ascii="Calibri" w:cs="Calibri" w:eastAsia="Calibri" w:hAnsi="Calibri"/>
          <w:color w:val="334155"/>
          <w:sz w:val="22"/>
          <w:szCs w:val="22"/>
        </w:rPr>
        <w:t xml:space="preserve">created_by, created_at</w:t>
      </w:r>
    </w:p>
    <w:p>
      <w:pPr>
        <w:pStyle w:val="ListParagraph"/>
        <w:numPr>
          <w:ilvl w:val="0"/>
          <w:numId w:val="2"/>
        </w:numPr>
        <w:spacing w:after="80" w:line="290"/>
      </w:pPr>
      <w:r>
        <w:rPr>
          <w:rFonts w:ascii="Calibri" w:cs="Calibri" w:eastAsia="Calibri" w:hAnsi="Calibri"/>
          <w:color w:val="334155"/>
          <w:sz w:val="22"/>
          <w:szCs w:val="22"/>
        </w:rPr>
        <w:t xml:space="preserve">modified_by, modified_at</w:t>
      </w:r>
    </w:p>
    <w:p>
      <w:pPr>
        <w:pStyle w:val="ListParagraph"/>
        <w:numPr>
          <w:ilvl w:val="0"/>
          <w:numId w:val="2"/>
        </w:numPr>
        <w:spacing w:after="80" w:line="290"/>
      </w:pPr>
      <w:r>
        <w:rPr>
          <w:rFonts w:ascii="Calibri" w:cs="Calibri" w:eastAsia="Calibri" w:hAnsi="Calibri"/>
          <w:color w:val="334155"/>
          <w:sz w:val="22"/>
          <w:szCs w:val="22"/>
        </w:rPr>
        <w:t xml:space="preserve">deleted_by, deleted_at (null if active)</w:t>
      </w:r>
    </w:p>
    <w:p>
      <w:pPr>
        <w:pStyle w:val="ListParagraph"/>
        <w:numPr>
          <w:ilvl w:val="0"/>
          <w:numId w:val="2"/>
        </w:numPr>
        <w:spacing w:after="80" w:line="290"/>
      </w:pPr>
      <w:r>
        <w:rPr>
          <w:rFonts w:ascii="Calibri" w:cs="Calibri" w:eastAsia="Calibri" w:hAnsi="Calibri"/>
          <w:color w:val="334155"/>
          <w:sz w:val="22"/>
          <w:szCs w:val="22"/>
        </w:rPr>
        <w:t xml:space="preserve">A separate audit_log table logs every change: who, when, what field, before value, after value.</w:t>
      </w:r>
    </w:p>
    <w:p>
      <w:pPr>
        <w:spacing w:after="120" w:before="0" w:line="300"/>
        <w:jc w:val="left"/>
      </w:pPr>
      <w:r>
        <w:rPr>
          <w:rFonts w:ascii="Calibri" w:cs="Calibri" w:eastAsia="Calibri" w:hAnsi="Calibri"/>
          <w:b w:val="false"/>
          <w:bCs w:val="false"/>
          <w:i w:val="false"/>
          <w:iCs w:val="false"/>
          <w:color w:val="334155"/>
          <w:sz w:val="22"/>
          <w:szCs w:val="22"/>
        </w:rPr>
        <w:t xml:space="preserve">For an accounting-grade system, this is non-negotiable. If a court or auditor asks "who changed this number?" the system must answer.</w:t>
      </w:r>
    </w:p>
    <w:p>
      <w:pPr>
        <w:pStyle w:val="Heading2"/>
        <w:spacing w:after="100" w:before="280"/>
      </w:pPr>
      <w:r>
        <w:rPr>
          <w:rFonts w:ascii="Calibri" w:cs="Calibri" w:eastAsia="Calibri" w:hAnsi="Calibri"/>
          <w:b/>
          <w:bCs/>
          <w:color w:val="0F172A"/>
          <w:sz w:val="28"/>
          <w:szCs w:val="28"/>
        </w:rPr>
        <w:t xml:space="preserve">6.5 The period close pattern</w:t>
      </w:r>
    </w:p>
    <w:p>
      <w:pPr>
        <w:spacing w:after="120" w:before="0" w:line="300"/>
        <w:jc w:val="left"/>
      </w:pPr>
      <w:r>
        <w:rPr>
          <w:rFonts w:ascii="Calibri" w:cs="Calibri" w:eastAsia="Calibri" w:hAnsi="Calibri"/>
          <w:b w:val="false"/>
          <w:bCs w:val="false"/>
          <w:i w:val="false"/>
          <w:iCs w:val="false"/>
          <w:color w:val="334155"/>
          <w:sz w:val="22"/>
          <w:szCs w:val="22"/>
        </w:rPr>
        <w:t xml:space="preserve">Once a month is closed by an admin, no transaction in that period can be edited or created. The only way to make a correction is an explicit reversing entry, which is itself logged.</w:t>
      </w:r>
    </w:p>
    <w:p>
      <w:pPr>
        <w:spacing w:after="120" w:before="0" w:line="300"/>
        <w:jc w:val="left"/>
      </w:pPr>
      <w:r>
        <w:rPr>
          <w:rFonts w:ascii="Calibri" w:cs="Calibri" w:eastAsia="Calibri" w:hAnsi="Calibri"/>
          <w:b w:val="false"/>
          <w:bCs w:val="false"/>
          <w:i w:val="false"/>
          <w:iCs w:val="false"/>
          <w:color w:val="334155"/>
          <w:sz w:val="22"/>
          <w:szCs w:val="22"/>
        </w:rPr>
        <w:t xml:space="preserve">Without this, your financial reports cannot be trusted. With it, the system is audit-ready.</w:t>
      </w:r>
    </w:p>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7. Form &amp; UI Patterns</w:t>
      </w:r>
    </w:p>
    <w:p>
      <w:pPr>
        <w:pStyle w:val="Heading2"/>
        <w:spacing w:after="100" w:before="280"/>
      </w:pPr>
      <w:r>
        <w:rPr>
          <w:rFonts w:ascii="Calibri" w:cs="Calibri" w:eastAsia="Calibri" w:hAnsi="Calibri"/>
          <w:b/>
          <w:bCs/>
          <w:color w:val="0F172A"/>
          <w:sz w:val="28"/>
          <w:szCs w:val="28"/>
        </w:rPr>
        <w:t xml:space="preserve">7.1 Collapsible form sections</w:t>
      </w:r>
    </w:p>
    <w:p>
      <w:pPr>
        <w:spacing w:after="120" w:before="0" w:line="300"/>
        <w:jc w:val="left"/>
      </w:pPr>
      <w:r>
        <w:rPr>
          <w:rFonts w:ascii="Calibri" w:cs="Calibri" w:eastAsia="Calibri" w:hAnsi="Calibri"/>
          <w:b w:val="false"/>
          <w:bCs w:val="false"/>
          <w:i w:val="false"/>
          <w:iCs w:val="false"/>
          <w:color w:val="334155"/>
          <w:sz w:val="22"/>
          <w:szCs w:val="22"/>
        </w:rPr>
        <w:t xml:space="preserve">Long forms (Add Employee, Add Contract, Add Invoice) must use collapsible sections, never a single scroll. Default to the first section expanded; remember user preferences for which sections to expand by default.</w:t>
      </w:r>
    </w:p>
    <w:p>
      <w:pPr>
        <w:pStyle w:val="Heading2"/>
        <w:spacing w:after="100" w:before="280"/>
      </w:pPr>
      <w:r>
        <w:rPr>
          <w:rFonts w:ascii="Calibri" w:cs="Calibri" w:eastAsia="Calibri" w:hAnsi="Calibri"/>
          <w:b/>
          <w:bCs/>
          <w:color w:val="0F172A"/>
          <w:sz w:val="28"/>
          <w:szCs w:val="28"/>
        </w:rPr>
        <w:t xml:space="preserve">7.2 Sticky action bars</w:t>
      </w:r>
    </w:p>
    <w:p>
      <w:pPr>
        <w:spacing w:after="120" w:before="0" w:line="300"/>
        <w:jc w:val="left"/>
      </w:pPr>
      <w:r>
        <w:rPr>
          <w:rFonts w:ascii="Calibri" w:cs="Calibri" w:eastAsia="Calibri" w:hAnsi="Calibri"/>
          <w:b w:val="false"/>
          <w:bCs w:val="false"/>
          <w:i w:val="false"/>
          <w:iCs w:val="false"/>
          <w:color w:val="334155"/>
          <w:sz w:val="22"/>
          <w:szCs w:val="22"/>
        </w:rPr>
        <w:t xml:space="preserve">On any modal taller than the viewport, the Save / Cancel buttons must stick to the bottom of the modal. Users should not have to scroll back up to save.</w:t>
      </w:r>
    </w:p>
    <w:p>
      <w:pPr>
        <w:pStyle w:val="Heading2"/>
        <w:spacing w:after="100" w:before="280"/>
      </w:pPr>
      <w:r>
        <w:rPr>
          <w:rFonts w:ascii="Calibri" w:cs="Calibri" w:eastAsia="Calibri" w:hAnsi="Calibri"/>
          <w:b/>
          <w:bCs/>
          <w:color w:val="0F172A"/>
          <w:sz w:val="28"/>
          <w:szCs w:val="28"/>
        </w:rPr>
        <w:t xml:space="preserve">7.3 Inline editing</w:t>
      </w:r>
    </w:p>
    <w:p>
      <w:pPr>
        <w:spacing w:after="120" w:before="0" w:line="300"/>
        <w:jc w:val="left"/>
      </w:pPr>
      <w:r>
        <w:rPr>
          <w:rFonts w:ascii="Calibri" w:cs="Calibri" w:eastAsia="Calibri" w:hAnsi="Calibri"/>
          <w:b w:val="false"/>
          <w:bCs w:val="false"/>
          <w:i w:val="false"/>
          <w:iCs w:val="false"/>
          <w:color w:val="334155"/>
          <w:sz w:val="22"/>
          <w:szCs w:val="22"/>
        </w:rPr>
        <w:t xml:space="preserve">For high-frequency edits (attendance marking, status changes, payment recording), avoid opening a modal. Click a cell, edit in place, tab away to save. The current Attendance Present/Absent/Leave buttons are the right pattern.</w:t>
      </w:r>
    </w:p>
    <w:p>
      <w:pPr>
        <w:pStyle w:val="Heading2"/>
        <w:spacing w:after="100" w:before="280"/>
      </w:pPr>
      <w:r>
        <w:rPr>
          <w:rFonts w:ascii="Calibri" w:cs="Calibri" w:eastAsia="Calibri" w:hAnsi="Calibri"/>
          <w:b/>
          <w:bCs/>
          <w:color w:val="0F172A"/>
          <w:sz w:val="28"/>
          <w:szCs w:val="28"/>
        </w:rPr>
        <w:t xml:space="preserve">7.4 Bulk actions</w:t>
      </w:r>
    </w:p>
    <w:p>
      <w:pPr>
        <w:spacing w:after="120" w:before="0" w:line="300"/>
        <w:jc w:val="left"/>
      </w:pPr>
      <w:r>
        <w:rPr>
          <w:rFonts w:ascii="Calibri" w:cs="Calibri" w:eastAsia="Calibri" w:hAnsi="Calibri"/>
          <w:b w:val="false"/>
          <w:bCs w:val="false"/>
          <w:i w:val="false"/>
          <w:iCs w:val="false"/>
          <w:color w:val="334155"/>
          <w:sz w:val="22"/>
          <w:szCs w:val="22"/>
        </w:rPr>
        <w:t xml:space="preserve">Extend the existing "Mark All as Disbursed" pattern across the system:</w:t>
      </w:r>
    </w:p>
    <w:p>
      <w:pPr>
        <w:pStyle w:val="ListParagraph"/>
        <w:numPr>
          <w:ilvl w:val="0"/>
          <w:numId w:val="2"/>
        </w:numPr>
        <w:spacing w:after="80" w:line="290"/>
      </w:pPr>
      <w:r>
        <w:rPr>
          <w:rFonts w:ascii="Calibri" w:cs="Calibri" w:eastAsia="Calibri" w:hAnsi="Calibri"/>
          <w:color w:val="334155"/>
          <w:sz w:val="22"/>
          <w:szCs w:val="22"/>
        </w:rPr>
        <w:t xml:space="preserve">Bulk attendance marking by location or shift.</w:t>
      </w:r>
    </w:p>
    <w:p>
      <w:pPr>
        <w:pStyle w:val="ListParagraph"/>
        <w:numPr>
          <w:ilvl w:val="0"/>
          <w:numId w:val="2"/>
        </w:numPr>
        <w:spacing w:after="80" w:line="290"/>
      </w:pPr>
      <w:r>
        <w:rPr>
          <w:rFonts w:ascii="Calibri" w:cs="Calibri" w:eastAsia="Calibri" w:hAnsi="Calibri"/>
          <w:color w:val="334155"/>
          <w:sz w:val="22"/>
          <w:szCs w:val="22"/>
        </w:rPr>
        <w:t xml:space="preserve">Bulk invoice generation at month-end for all auto-billing clients.</w:t>
      </w:r>
    </w:p>
    <w:p>
      <w:pPr>
        <w:pStyle w:val="ListParagraph"/>
        <w:numPr>
          <w:ilvl w:val="0"/>
          <w:numId w:val="2"/>
        </w:numPr>
        <w:spacing w:after="80" w:line="290"/>
      </w:pPr>
      <w:r>
        <w:rPr>
          <w:rFonts w:ascii="Calibri" w:cs="Calibri" w:eastAsia="Calibri" w:hAnsi="Calibri"/>
          <w:color w:val="334155"/>
          <w:sz w:val="22"/>
          <w:szCs w:val="22"/>
        </w:rPr>
        <w:t xml:space="preserve">Bulk reliever assignment for a date range.</w:t>
      </w:r>
    </w:p>
    <w:p>
      <w:pPr>
        <w:pStyle w:val="ListParagraph"/>
        <w:numPr>
          <w:ilvl w:val="0"/>
          <w:numId w:val="2"/>
        </w:numPr>
        <w:spacing w:after="80" w:line="290"/>
      </w:pPr>
      <w:r>
        <w:rPr>
          <w:rFonts w:ascii="Calibri" w:cs="Calibri" w:eastAsia="Calibri" w:hAnsi="Calibri"/>
          <w:color w:val="334155"/>
          <w:sz w:val="22"/>
          <w:szCs w:val="22"/>
        </w:rPr>
        <w:t xml:space="preserve">Bulk cheque printing.</w:t>
      </w:r>
    </w:p>
    <w:p>
      <w:pPr>
        <w:pStyle w:val="Heading2"/>
        <w:spacing w:after="100" w:before="280"/>
      </w:pPr>
      <w:r>
        <w:rPr>
          <w:rFonts w:ascii="Calibri" w:cs="Calibri" w:eastAsia="Calibri" w:hAnsi="Calibri"/>
          <w:b/>
          <w:bCs/>
          <w:color w:val="0F172A"/>
          <w:sz w:val="28"/>
          <w:szCs w:val="28"/>
        </w:rPr>
        <w:t xml:space="preserve">7.5 Status badges as filters</w:t>
      </w:r>
    </w:p>
    <w:p>
      <w:pPr>
        <w:spacing w:after="120" w:before="0" w:line="300"/>
        <w:jc w:val="left"/>
      </w:pPr>
      <w:r>
        <w:rPr>
          <w:rFonts w:ascii="Calibri" w:cs="Calibri" w:eastAsia="Calibri" w:hAnsi="Calibri"/>
          <w:b w:val="false"/>
          <w:bCs w:val="false"/>
          <w:i w:val="false"/>
          <w:iCs w:val="false"/>
          <w:color w:val="334155"/>
          <w:sz w:val="22"/>
          <w:szCs w:val="22"/>
        </w:rPr>
        <w:t xml:space="preserve">Every status badge (Pending, Cleared, Disbursed, Overdue) should be clickable. Clicking it filters the table to that status only. Cuts navigation in half.</w:t>
      </w:r>
    </w:p>
    <w:p>
      <w:pPr>
        <w:pStyle w:val="Heading2"/>
        <w:spacing w:after="100" w:before="280"/>
      </w:pPr>
      <w:r>
        <w:rPr>
          <w:rFonts w:ascii="Calibri" w:cs="Calibri" w:eastAsia="Calibri" w:hAnsi="Calibri"/>
          <w:b/>
          <w:bCs/>
          <w:color w:val="0F172A"/>
          <w:sz w:val="28"/>
          <w:szCs w:val="28"/>
        </w:rPr>
        <w:t xml:space="preserve">7.6 Empty states with next-action prompts</w:t>
      </w:r>
    </w:p>
    <w:p>
      <w:pPr>
        <w:spacing w:after="120" w:before="0" w:line="300"/>
        <w:jc w:val="left"/>
      </w:pPr>
      <w:r>
        <w:rPr>
          <w:rFonts w:ascii="Calibri" w:cs="Calibri" w:eastAsia="Calibri" w:hAnsi="Calibri"/>
          <w:b w:val="false"/>
          <w:bCs w:val="false"/>
          <w:i w:val="false"/>
          <w:iCs w:val="false"/>
          <w:color w:val="334155"/>
          <w:sz w:val="22"/>
          <w:szCs w:val="22"/>
        </w:rPr>
        <w:t xml:space="preserve">Never show a blank table. Always show what the user should do next.</w:t>
      </w:r>
    </w:p>
    <w:p>
      <w:pPr>
        <w:spacing w:after="120" w:before="0" w:line="300"/>
        <w:jc w:val="left"/>
      </w:pPr>
      <w:r>
        <w:rPr>
          <w:rFonts w:ascii="Calibri" w:cs="Calibri" w:eastAsia="Calibri" w:hAnsi="Calibri"/>
          <w:b w:val="false"/>
          <w:bCs w:val="false"/>
          <w:i w:val="false"/>
          <w:iCs w:val="false"/>
          <w:color w:val="334155"/>
          <w:sz w:val="22"/>
          <w:szCs w:val="22"/>
        </w:rPr>
        <w:t xml:space="preserve">Example, already done well in current build: "No locations yet. Add one to get started." Apply this pattern everywhere.</w:t>
      </w:r>
    </w:p>
    <w:p>
      <w:pPr>
        <w:pStyle w:val="Heading2"/>
        <w:spacing w:after="100" w:before="280"/>
      </w:pPr>
      <w:r>
        <w:rPr>
          <w:rFonts w:ascii="Calibri" w:cs="Calibri" w:eastAsia="Calibri" w:hAnsi="Calibri"/>
          <w:b/>
          <w:bCs/>
          <w:color w:val="0F172A"/>
          <w:sz w:val="28"/>
          <w:szCs w:val="28"/>
        </w:rPr>
        <w:t xml:space="preserve">7.7 Mobile responsive for field use</w:t>
      </w:r>
    </w:p>
    <w:p>
      <w:pPr>
        <w:spacing w:after="120" w:before="0" w:line="300"/>
        <w:jc w:val="left"/>
      </w:pPr>
      <w:r>
        <w:rPr>
          <w:rFonts w:ascii="Calibri" w:cs="Calibri" w:eastAsia="Calibri" w:hAnsi="Calibri"/>
          <w:b w:val="false"/>
          <w:bCs w:val="false"/>
          <w:i w:val="false"/>
          <w:iCs w:val="false"/>
          <w:color w:val="334155"/>
          <w:sz w:val="22"/>
          <w:szCs w:val="22"/>
        </w:rPr>
        <w:t xml:space="preserve">The supervisor is not at a desk. He is at a client site, on a phone, marking attendance and checking the roster. At minimum, the following must work well on mobile:</w:t>
      </w:r>
    </w:p>
    <w:p>
      <w:pPr>
        <w:pStyle w:val="ListParagraph"/>
        <w:numPr>
          <w:ilvl w:val="0"/>
          <w:numId w:val="2"/>
        </w:numPr>
        <w:spacing w:after="80" w:line="290"/>
      </w:pPr>
      <w:r>
        <w:rPr>
          <w:rFonts w:ascii="Calibri" w:cs="Calibri" w:eastAsia="Calibri" w:hAnsi="Calibri"/>
          <w:color w:val="334155"/>
          <w:sz w:val="22"/>
          <w:szCs w:val="22"/>
        </w:rPr>
        <w:t xml:space="preserve">Attendance marking.</w:t>
      </w:r>
    </w:p>
    <w:p>
      <w:pPr>
        <w:pStyle w:val="ListParagraph"/>
        <w:numPr>
          <w:ilvl w:val="0"/>
          <w:numId w:val="2"/>
        </w:numPr>
        <w:spacing w:after="80" w:line="290"/>
      </w:pPr>
      <w:r>
        <w:rPr>
          <w:rFonts w:ascii="Calibri" w:cs="Calibri" w:eastAsia="Calibri" w:hAnsi="Calibri"/>
          <w:color w:val="334155"/>
          <w:sz w:val="22"/>
          <w:szCs w:val="22"/>
        </w:rPr>
        <w:t xml:space="preserve">Deployment Roster (read view).</w:t>
      </w:r>
    </w:p>
    <w:p>
      <w:pPr>
        <w:pStyle w:val="ListParagraph"/>
        <w:numPr>
          <w:ilvl w:val="0"/>
          <w:numId w:val="2"/>
        </w:numPr>
        <w:spacing w:after="80" w:line="290"/>
      </w:pPr>
      <w:r>
        <w:rPr>
          <w:rFonts w:ascii="Calibri" w:cs="Calibri" w:eastAsia="Calibri" w:hAnsi="Calibri"/>
          <w:color w:val="334155"/>
          <w:sz w:val="22"/>
          <w:szCs w:val="22"/>
        </w:rPr>
        <w:t xml:space="preserve">Incident logging.</w:t>
      </w:r>
    </w:p>
    <w:p>
      <w:pPr>
        <w:pStyle w:val="ListParagraph"/>
        <w:numPr>
          <w:ilvl w:val="0"/>
          <w:numId w:val="2"/>
        </w:numPr>
        <w:spacing w:after="80" w:line="290"/>
      </w:pPr>
      <w:r>
        <w:rPr>
          <w:rFonts w:ascii="Calibri" w:cs="Calibri" w:eastAsia="Calibri" w:hAnsi="Calibri"/>
          <w:color w:val="334155"/>
          <w:sz w:val="22"/>
          <w:szCs w:val="22"/>
        </w:rPr>
        <w:t xml:space="preserve">Employee lookup.</w:t>
      </w:r>
    </w:p>
    <w:p>
      <w:pPr>
        <w:spacing w:after="120" w:before="0" w:line="300"/>
        <w:jc w:val="left"/>
      </w:pPr>
      <w:r>
        <w:rPr>
          <w:rFonts w:ascii="Calibri" w:cs="Calibri" w:eastAsia="Calibri" w:hAnsi="Calibri"/>
          <w:b w:val="false"/>
          <w:bCs w:val="false"/>
          <w:i w:val="false"/>
          <w:iCs w:val="false"/>
          <w:color w:val="334155"/>
          <w:sz w:val="22"/>
          <w:szCs w:val="22"/>
        </w:rPr>
        <w:t xml:space="preserve">Other modules can stay desktop-first.</w:t>
      </w:r>
    </w:p>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8. Accounting-Grade Requirements</w:t>
      </w:r>
    </w:p>
    <w:p>
      <w:pPr>
        <w:spacing w:after="120" w:before="0" w:line="300"/>
        <w:jc w:val="left"/>
      </w:pPr>
      <w:r>
        <w:rPr>
          <w:rFonts w:ascii="Calibri" w:cs="Calibri" w:eastAsia="Calibri" w:hAnsi="Calibri"/>
          <w:b w:val="false"/>
          <w:bCs w:val="false"/>
          <w:i w:val="false"/>
          <w:iCs w:val="false"/>
          <w:color w:val="334155"/>
          <w:sz w:val="22"/>
          <w:szCs w:val="22"/>
        </w:rPr>
        <w:t xml:space="preserve">For SixthLedger or any external auditor to sign off, the system must produce the following. These should be visible artefacts, not internal abstractions.</w:t>
      </w:r>
    </w:p>
    <w:p>
      <w:pPr>
        <w:pStyle w:val="Heading2"/>
        <w:spacing w:after="100" w:before="280"/>
      </w:pPr>
      <w:r>
        <w:rPr>
          <w:rFonts w:ascii="Calibri" w:cs="Calibri" w:eastAsia="Calibri" w:hAnsi="Calibri"/>
          <w:b/>
          <w:bCs/>
          <w:color w:val="0F172A"/>
          <w:sz w:val="28"/>
          <w:szCs w:val="28"/>
        </w:rPr>
        <w:t xml:space="preserve">8.1 Chart of Accounts</w:t>
      </w:r>
    </w:p>
    <w:p>
      <w:pPr>
        <w:spacing w:after="120" w:before="0" w:line="300"/>
        <w:jc w:val="left"/>
      </w:pPr>
      <w:r>
        <w:rPr>
          <w:rFonts w:ascii="Calibri" w:cs="Calibri" w:eastAsia="Calibri" w:hAnsi="Calibri"/>
          <w:b w:val="false"/>
          <w:bCs w:val="false"/>
          <w:i w:val="false"/>
          <w:iCs w:val="false"/>
          <w:color w:val="334155"/>
          <w:sz w:val="22"/>
          <w:szCs w:val="22"/>
        </w:rPr>
        <w:t xml:space="preserve">User-visible, user-editable. Currently buried as a tab inside Financial Reports; should be a top-level item under Finance, or under Settings if you prefer config grouping.</w:t>
      </w:r>
    </w:p>
    <w:p>
      <w:pPr>
        <w:spacing w:after="120" w:before="0" w:line="300"/>
        <w:jc w:val="left"/>
      </w:pPr>
      <w:r>
        <w:rPr>
          <w:rFonts w:ascii="Calibri" w:cs="Calibri" w:eastAsia="Calibri" w:hAnsi="Calibri"/>
          <w:b w:val="false"/>
          <w:bCs w:val="false"/>
          <w:i w:val="false"/>
          <w:iCs w:val="false"/>
          <w:color w:val="334155"/>
          <w:sz w:val="22"/>
          <w:szCs w:val="22"/>
        </w:rPr>
        <w:t xml:space="preserve">Standard structure: Assets, Liabilities, Equity, Revenue, Expenses. Each with sub-accounts. Allow custom accounts to be added by Super Admins only.</w:t>
      </w:r>
    </w:p>
    <w:p>
      <w:pPr>
        <w:pStyle w:val="Heading2"/>
        <w:spacing w:after="100" w:before="280"/>
      </w:pPr>
      <w:r>
        <w:rPr>
          <w:rFonts w:ascii="Calibri" w:cs="Calibri" w:eastAsia="Calibri" w:hAnsi="Calibri"/>
          <w:b/>
          <w:bCs/>
          <w:color w:val="0F172A"/>
          <w:sz w:val="28"/>
          <w:szCs w:val="28"/>
        </w:rPr>
        <w:t xml:space="preserve">8.2 Trial Balance report</w:t>
      </w:r>
    </w:p>
    <w:p>
      <w:pPr>
        <w:spacing w:after="120" w:before="0" w:line="300"/>
        <w:jc w:val="left"/>
      </w:pPr>
      <w:r>
        <w:rPr>
          <w:rFonts w:ascii="Calibri" w:cs="Calibri" w:eastAsia="Calibri" w:hAnsi="Calibri"/>
          <w:b w:val="false"/>
          <w:bCs w:val="false"/>
          <w:i w:val="false"/>
          <w:iCs w:val="false"/>
          <w:color w:val="334155"/>
          <w:sz w:val="22"/>
          <w:szCs w:val="22"/>
        </w:rPr>
        <w:t xml:space="preserve">Pulls every account’s debit and credit balance. Must balance to zero (or to retained earnings movement for a period). If you cannot produce a Trial Balance, you do not have an accounting system.</w:t>
      </w:r>
    </w:p>
    <w:p>
      <w:pPr>
        <w:pStyle w:val="Heading2"/>
        <w:spacing w:after="100" w:before="280"/>
      </w:pPr>
      <w:r>
        <w:rPr>
          <w:rFonts w:ascii="Calibri" w:cs="Calibri" w:eastAsia="Calibri" w:hAnsi="Calibri"/>
          <w:b/>
          <w:bCs/>
          <w:color w:val="0F172A"/>
          <w:sz w:val="28"/>
          <w:szCs w:val="28"/>
        </w:rPr>
        <w:t xml:space="preserve">8.3 General Ledger drill-down</w:t>
      </w:r>
    </w:p>
    <w:p>
      <w:pPr>
        <w:spacing w:after="120" w:before="0" w:line="300"/>
        <w:jc w:val="left"/>
      </w:pPr>
      <w:r>
        <w:rPr>
          <w:rFonts w:ascii="Calibri" w:cs="Calibri" w:eastAsia="Calibri" w:hAnsi="Calibri"/>
          <w:b w:val="false"/>
          <w:bCs w:val="false"/>
          <w:i w:val="false"/>
          <w:iCs w:val="false"/>
          <w:color w:val="334155"/>
          <w:sz w:val="22"/>
          <w:szCs w:val="22"/>
        </w:rPr>
        <w:t xml:space="preserve">From any account in the Trial Balance, the user can drill into every transaction posted to that account, in date order, with running balance.</w:t>
      </w:r>
    </w:p>
    <w:p>
      <w:pPr>
        <w:pStyle w:val="Heading2"/>
        <w:spacing w:after="100" w:before="280"/>
      </w:pPr>
      <w:r>
        <w:rPr>
          <w:rFonts w:ascii="Calibri" w:cs="Calibri" w:eastAsia="Calibri" w:hAnsi="Calibri"/>
          <w:b/>
          <w:bCs/>
          <w:color w:val="0F172A"/>
          <w:sz w:val="28"/>
          <w:szCs w:val="28"/>
        </w:rPr>
        <w:t xml:space="preserve">8.4 Period close and lock</w:t>
      </w:r>
    </w:p>
    <w:p>
      <w:pPr>
        <w:spacing w:after="120" w:before="0" w:line="300"/>
        <w:jc w:val="left"/>
      </w:pPr>
      <w:r>
        <w:rPr>
          <w:rFonts w:ascii="Calibri" w:cs="Calibri" w:eastAsia="Calibri" w:hAnsi="Calibri"/>
          <w:b w:val="false"/>
          <w:bCs w:val="false"/>
          <w:i w:val="false"/>
          <w:iCs w:val="false"/>
          <w:color w:val="334155"/>
          <w:sz w:val="22"/>
          <w:szCs w:val="22"/>
        </w:rPr>
        <w:t xml:space="preserve">Already covered in section 6.5. The admin closes a month; no edits to that month thereafter without a reversal entry.</w:t>
      </w:r>
    </w:p>
    <w:p>
      <w:pPr>
        <w:pStyle w:val="Heading2"/>
        <w:spacing w:after="100" w:before="280"/>
      </w:pPr>
      <w:r>
        <w:rPr>
          <w:rFonts w:ascii="Calibri" w:cs="Calibri" w:eastAsia="Calibri" w:hAnsi="Calibri"/>
          <w:b/>
          <w:bCs/>
          <w:color w:val="0F172A"/>
          <w:sz w:val="28"/>
          <w:szCs w:val="28"/>
        </w:rPr>
        <w:t xml:space="preserve">8.5 Opening balance migration tool</w:t>
      </w:r>
    </w:p>
    <w:p>
      <w:pPr>
        <w:spacing w:after="120" w:before="0" w:line="300"/>
        <w:jc w:val="left"/>
      </w:pPr>
      <w:r>
        <w:rPr>
          <w:rFonts w:ascii="Calibri" w:cs="Calibri" w:eastAsia="Calibri" w:hAnsi="Calibri"/>
          <w:b w:val="false"/>
          <w:bCs w:val="false"/>
          <w:i w:val="false"/>
          <w:iCs w:val="false"/>
          <w:color w:val="334155"/>
          <w:sz w:val="22"/>
          <w:szCs w:val="22"/>
        </w:rPr>
        <w:t xml:space="preserve">For new clients moving from another system: a structured way to import opening balances per account on day one. CSV upload with validation, mapped to Chart of Accounts, posted as a single dated batch.</w:t>
      </w:r>
    </w:p>
    <w:p>
      <w:pPr>
        <w:pStyle w:val="Heading2"/>
        <w:spacing w:after="100" w:before="280"/>
      </w:pPr>
      <w:r>
        <w:rPr>
          <w:rFonts w:ascii="Calibri" w:cs="Calibri" w:eastAsia="Calibri" w:hAnsi="Calibri"/>
          <w:b/>
          <w:bCs/>
          <w:color w:val="0F172A"/>
          <w:sz w:val="28"/>
          <w:szCs w:val="28"/>
        </w:rPr>
        <w:t xml:space="preserve">8.6 Multi-currency support (forward-compatible)</w:t>
      </w:r>
    </w:p>
    <w:p>
      <w:pPr>
        <w:spacing w:after="120" w:before="0" w:line="300"/>
        <w:jc w:val="left"/>
      </w:pPr>
      <w:r>
        <w:rPr>
          <w:rFonts w:ascii="Calibri" w:cs="Calibri" w:eastAsia="Calibri" w:hAnsi="Calibri"/>
          <w:b w:val="false"/>
          <w:bCs w:val="false"/>
          <w:i w:val="false"/>
          <w:iCs w:val="false"/>
          <w:color w:val="334155"/>
          <w:sz w:val="22"/>
          <w:szCs w:val="22"/>
        </w:rPr>
        <w:t xml:space="preserve">Build the data model to support multiple currencies even if every account is PKR today. Several Pakistani security firms now have Middle East contracts in USD or AED. Store currency code on every bank account, every invoice, and every transaction.</w:t>
      </w:r>
    </w:p>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9. Priority Roadmap (Next 90 Days)</w:t>
      </w:r>
    </w:p>
    <w:p>
      <w:pPr>
        <w:spacing w:after="120" w:before="0" w:line="300"/>
        <w:jc w:val="left"/>
      </w:pPr>
      <w:r>
        <w:rPr>
          <w:rFonts w:ascii="Calibri" w:cs="Calibri" w:eastAsia="Calibri" w:hAnsi="Calibri"/>
          <w:b w:val="false"/>
          <w:bCs w:val="false"/>
          <w:i w:val="false"/>
          <w:iCs w:val="false"/>
          <w:color w:val="334155"/>
          <w:sz w:val="22"/>
          <w:szCs w:val="22"/>
        </w:rPr>
        <w:t xml:space="preserve">Ordered by impact per unit of effort. Items 1 to 3 are quick wins; items 4 to 7 are the heavy lifts that unlock the biggest commercial value.</w:t>
      </w:r>
    </w:p>
    <w:p>
      <w:pPr>
        <w:spacing w:after="180"/>
      </w:pPr>
      <w:r>
        <w:t xml:space="preserve"/>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600"/>
        <w:gridCol w:w="3400"/>
        <w:gridCol w:w="1200"/>
        <w:gridCol w:w="1200"/>
        <w:gridCol w:w="2960"/>
      </w:tblGrid>
      <w:tr>
        <w:trPr>
          <w:tblHeader/>
        </w:trPr>
        <w:tc>
          <w:tcPr>
            <w:tcW w:type="dxa" w:w="600"/>
            <w:shd w:fill="DC2626"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3400"/>
            <w:shd w:fill="DC2626" w:val="clear"/>
            <w:tcMar>
              <w:top w:type="dxa" w:w="100"/>
              <w:left w:type="dxa" w:w="140"/>
              <w:bottom w:type="dxa" w:w="100"/>
              <w:right w:type="dxa" w:w="140"/>
            </w:tcMar>
          </w:tcPr>
          <w:p>
            <w:r>
              <w:rPr>
                <w:rFonts w:ascii="Calibri" w:cs="Calibri" w:eastAsia="Calibri" w:hAnsi="Calibri"/>
                <w:b/>
                <w:bCs/>
                <w:color w:val="FFFFFF"/>
                <w:sz w:val="20"/>
                <w:szCs w:val="20"/>
              </w:rPr>
              <w:t xml:space="preserve">Item</w:t>
            </w:r>
          </w:p>
        </w:tc>
        <w:tc>
          <w:tcPr>
            <w:tcW w:type="dxa" w:w="1200"/>
            <w:shd w:fill="DC2626" w:val="clear"/>
            <w:tcMar>
              <w:top w:type="dxa" w:w="100"/>
              <w:left w:type="dxa" w:w="140"/>
              <w:bottom w:type="dxa" w:w="100"/>
              <w:right w:type="dxa" w:w="140"/>
            </w:tcMar>
          </w:tcPr>
          <w:p>
            <w:r>
              <w:rPr>
                <w:rFonts w:ascii="Calibri" w:cs="Calibri" w:eastAsia="Calibri" w:hAnsi="Calibri"/>
                <w:b/>
                <w:bCs/>
                <w:color w:val="FFFFFF"/>
                <w:sz w:val="20"/>
                <w:szCs w:val="20"/>
              </w:rPr>
              <w:t xml:space="preserve">Effort</w:t>
            </w:r>
          </w:p>
        </w:tc>
        <w:tc>
          <w:tcPr>
            <w:tcW w:type="dxa" w:w="1200"/>
            <w:shd w:fill="DC2626" w:val="clear"/>
            <w:tcMar>
              <w:top w:type="dxa" w:w="100"/>
              <w:left w:type="dxa" w:w="140"/>
              <w:bottom w:type="dxa" w:w="100"/>
              <w:right w:type="dxa" w:w="140"/>
            </w:tcMar>
          </w:tcPr>
          <w:p>
            <w:r>
              <w:rPr>
                <w:rFonts w:ascii="Calibri" w:cs="Calibri" w:eastAsia="Calibri" w:hAnsi="Calibri"/>
                <w:b/>
                <w:bCs/>
                <w:color w:val="FFFFFF"/>
                <w:sz w:val="20"/>
                <w:szCs w:val="20"/>
              </w:rPr>
              <w:t xml:space="preserve">Impact</w:t>
            </w:r>
          </w:p>
        </w:tc>
        <w:tc>
          <w:tcPr>
            <w:tcW w:type="dxa" w:w="2960"/>
            <w:shd w:fill="DC2626"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600"/>
            <w:shd w:fill="FFFFFF"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1</w:t>
            </w:r>
          </w:p>
        </w:tc>
        <w:tc>
          <w:tcPr>
            <w:tcW w:type="dxa" w:w="3400"/>
            <w:shd w:fill="FFFFFF"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Restructure sidebar into groups</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1 day</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FFFFF"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Pure UX win, zero backend work</w:t>
            </w:r>
          </w:p>
        </w:tc>
      </w:tr>
      <w:tr>
        <w:tc>
          <w:tcPr>
            <w:tcW w:type="dxa" w:w="600"/>
            <w:shd w:fill="F8FAFC"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2</w:t>
            </w:r>
          </w:p>
        </w:tc>
        <w:tc>
          <w:tcPr>
            <w:tcW w:type="dxa" w:w="3400"/>
            <w:shd w:fill="F8FAFC"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Promote Clients out of Settings to top-level</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3 days</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8FAFC"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Move + minor schema changes</w:t>
            </w:r>
          </w:p>
        </w:tc>
      </w:tr>
      <w:tr>
        <w:tc>
          <w:tcPr>
            <w:tcW w:type="dxa" w:w="600"/>
            <w:shd w:fill="FFFFFF"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3</w:t>
            </w:r>
          </w:p>
        </w:tc>
        <w:tc>
          <w:tcPr>
            <w:tcW w:type="dxa" w:w="3400"/>
            <w:shd w:fill="FFFFFF"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Fix P&amp;L Cost of Services structure</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3 days</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Critical</w:t>
            </w:r>
          </w:p>
        </w:tc>
        <w:tc>
          <w:tcPr>
            <w:tcW w:type="dxa" w:w="2960"/>
            <w:shd w:fill="FFFFFF"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Single biggest accounting fix</w:t>
            </w:r>
          </w:p>
        </w:tc>
      </w:tr>
      <w:tr>
        <w:tc>
          <w:tcPr>
            <w:tcW w:type="dxa" w:w="600"/>
            <w:shd w:fill="F8FAFC"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4</w:t>
            </w:r>
          </w:p>
        </w:tc>
        <w:tc>
          <w:tcPr>
            <w:tcW w:type="dxa" w:w="3400"/>
            <w:shd w:fill="F8FAFC"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Add missing Employee HR fields</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1 week</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8FAFC"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CNIC, DOB, addresses, licences, etc.</w:t>
            </w:r>
          </w:p>
        </w:tc>
      </w:tr>
      <w:tr>
        <w:tc>
          <w:tcPr>
            <w:tcW w:type="dxa" w:w="600"/>
            <w:shd w:fill="FFFFFF"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5</w:t>
            </w:r>
          </w:p>
        </w:tc>
        <w:tc>
          <w:tcPr>
            <w:tcW w:type="dxa" w:w="3400"/>
            <w:shd w:fill="FFFFFF"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Build Contracts as separate entity</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1 week</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FFFFF"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Foundation for everything else</w:t>
            </w:r>
          </w:p>
        </w:tc>
      </w:tr>
      <w:tr>
        <w:tc>
          <w:tcPr>
            <w:tcW w:type="dxa" w:w="600"/>
            <w:shd w:fill="F8FAFC"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6</w:t>
            </w:r>
          </w:p>
        </w:tc>
        <w:tc>
          <w:tcPr>
            <w:tcW w:type="dxa" w:w="3400"/>
            <w:shd w:fill="F8FAFC"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Build Deployment Roster module</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2 weeks</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Critical</w:t>
            </w:r>
          </w:p>
        </w:tc>
        <w:tc>
          <w:tcPr>
            <w:tcW w:type="dxa" w:w="2960"/>
            <w:shd w:fill="F8FAFC"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Single biggest differentiator</w:t>
            </w:r>
          </w:p>
        </w:tc>
      </w:tr>
      <w:tr>
        <w:tc>
          <w:tcPr>
            <w:tcW w:type="dxa" w:w="600"/>
            <w:shd w:fill="FFFFFF"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7</w:t>
            </w:r>
          </w:p>
        </w:tc>
        <w:tc>
          <w:tcPr>
            <w:tcW w:type="dxa" w:w="3400"/>
            <w:shd w:fill="FFFFFF"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Build Incidents module</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1 week</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FFFFF"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Second biggest differentiator</w:t>
            </w:r>
          </w:p>
        </w:tc>
      </w:tr>
      <w:tr>
        <w:tc>
          <w:tcPr>
            <w:tcW w:type="dxa" w:w="600"/>
            <w:shd w:fill="F8FAFC"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8</w:t>
            </w:r>
          </w:p>
        </w:tc>
        <w:tc>
          <w:tcPr>
            <w:tcW w:type="dxa" w:w="3400"/>
            <w:shd w:fill="F8FAFC"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Build Licences &amp; Renewals centre</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1 week</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8FAFC"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Aggregates existing data</w:t>
            </w:r>
          </w:p>
        </w:tc>
      </w:tr>
      <w:tr>
        <w:tc>
          <w:tcPr>
            <w:tcW w:type="dxa" w:w="600"/>
            <w:shd w:fill="FFFFFF"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9</w:t>
            </w:r>
          </w:p>
        </w:tc>
        <w:tc>
          <w:tcPr>
            <w:tcW w:type="dxa" w:w="3400"/>
            <w:shd w:fill="FFFFFF"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Add Chart of Accounts UI + Trial Balance</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2 weeks</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FFFFF"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Makes system accounting-grade</w:t>
            </w:r>
          </w:p>
        </w:tc>
      </w:tr>
      <w:tr>
        <w:tc>
          <w:tcPr>
            <w:tcW w:type="dxa" w:w="600"/>
            <w:shd w:fill="F8FAFC"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10</w:t>
            </w:r>
          </w:p>
        </w:tc>
        <w:tc>
          <w:tcPr>
            <w:tcW w:type="dxa" w:w="3400"/>
            <w:shd w:fill="F8FAFC"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Implement audit log everywhere</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2 weeks</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Critical</w:t>
            </w:r>
          </w:p>
        </w:tc>
        <w:tc>
          <w:tcPr>
            <w:tcW w:type="dxa" w:w="2960"/>
            <w:shd w:fill="F8FAFC"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Required for any future audit</w:t>
            </w:r>
          </w:p>
        </w:tc>
      </w:tr>
      <w:tr>
        <w:tc>
          <w:tcPr>
            <w:tcW w:type="dxa" w:w="600"/>
            <w:shd w:fill="FFFFFF"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11</w:t>
            </w:r>
          </w:p>
        </w:tc>
        <w:tc>
          <w:tcPr>
            <w:tcW w:type="dxa" w:w="3400"/>
            <w:shd w:fill="FFFFFF"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Implement period close + lock</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1 week</w:t>
            </w:r>
          </w:p>
        </w:tc>
        <w:tc>
          <w:tcPr>
            <w:tcW w:type="dxa" w:w="1200"/>
            <w:shd w:fill="FFFFFF"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FFFFF"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Required before client onboards an auditor</w:t>
            </w:r>
          </w:p>
        </w:tc>
      </w:tr>
      <w:tr>
        <w:tc>
          <w:tcPr>
            <w:tcW w:type="dxa" w:w="600"/>
            <w:shd w:fill="F8FAFC" w:val="clear"/>
            <w:tcMar>
              <w:top w:type="dxa" w:w="100"/>
              <w:left w:type="dxa" w:w="140"/>
              <w:bottom w:type="dxa" w:w="100"/>
              <w:right w:type="dxa" w:w="140"/>
            </w:tcMar>
          </w:tcPr>
          <w:p>
            <w:pPr>
              <w:jc w:val="center"/>
            </w:pPr>
            <w:r>
              <w:rPr>
                <w:rFonts w:ascii="Calibri" w:cs="Calibri" w:eastAsia="Calibri" w:hAnsi="Calibri"/>
                <w:b/>
                <w:bCs/>
                <w:color w:val="DC2626"/>
                <w:sz w:val="20"/>
                <w:szCs w:val="20"/>
              </w:rPr>
              <w:t xml:space="preserve">12</w:t>
            </w:r>
          </w:p>
        </w:tc>
        <w:tc>
          <w:tcPr>
            <w:tcW w:type="dxa" w:w="3400"/>
            <w:shd w:fill="F8FAFC"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Mobile responsive (Attendance, Roster, Incidents)</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2 weeks</w:t>
            </w:r>
          </w:p>
        </w:tc>
        <w:tc>
          <w:tcPr>
            <w:tcW w:type="dxa" w:w="1200"/>
            <w:shd w:fill="F8FAFC" w:val="clear"/>
            <w:tcMar>
              <w:top w:type="dxa" w:w="100"/>
              <w:left w:type="dxa" w:w="140"/>
              <w:bottom w:type="dxa" w:w="100"/>
              <w:right w:type="dxa" w:w="140"/>
            </w:tcMar>
          </w:tcPr>
          <w:p>
            <w:pPr>
              <w:jc w:val="center"/>
            </w:pPr>
            <w:r>
              <w:rPr>
                <w:rFonts w:ascii="Calibri" w:cs="Calibri" w:eastAsia="Calibri" w:hAnsi="Calibri"/>
                <w:b w:val="false"/>
                <w:bCs w:val="false"/>
                <w:color w:val="334155"/>
                <w:sz w:val="19"/>
                <w:szCs w:val="19"/>
              </w:rPr>
              <w:t xml:space="preserve">High</w:t>
            </w:r>
          </w:p>
        </w:tc>
        <w:tc>
          <w:tcPr>
            <w:tcW w:type="dxa" w:w="2960"/>
            <w:shd w:fill="F8FAFC" w:val="clear"/>
            <w:tcMar>
              <w:top w:type="dxa" w:w="100"/>
              <w:left w:type="dxa" w:w="140"/>
              <w:bottom w:type="dxa" w:w="100"/>
              <w:right w:type="dxa" w:w="140"/>
            </w:tcMar>
          </w:tcPr>
          <w:p>
            <w:pPr>
              <w:jc w:val="left"/>
            </w:pPr>
            <w:r>
              <w:rPr>
                <w:rFonts w:ascii="Calibri" w:cs="Calibri" w:eastAsia="Calibri" w:hAnsi="Calibri"/>
                <w:b w:val="false"/>
                <w:bCs w:val="false"/>
                <w:color w:val="334155"/>
                <w:sz w:val="19"/>
                <w:szCs w:val="19"/>
              </w:rPr>
              <w:t xml:space="preserve">Supervisors are not at desks</w:t>
            </w:r>
          </w:p>
        </w:tc>
      </w:tr>
    </w:tbl>
    <w:p>
      <w:pPr>
        <w:spacing w:after="200"/>
      </w:pPr>
      <w:r>
        <w:t xml:space="preserve"/>
      </w:r>
    </w:p>
    <w:tbl>
      <w:tblPr>
        <w:tblW w:type="dxa" w:w="9360"/>
        <w:tblBorders>
          <w:top w:val="single" w:color="059669" w:sz="6"/>
          <w:left w:val="single" w:color="059669" w:sz="18"/>
          <w:bottom w:val="single" w:color="059669" w:sz="6"/>
          <w:right w:val="single" w:color="059669" w:sz="6"/>
          <w:insideH w:val="none" w:color="FFFFFF" w:sz="0"/>
          <w:insideV w:val="none" w:color="FFFFFF" w:sz="0"/>
        </w:tblBorders>
      </w:tblPr>
      <w:tblGrid>
        <w:gridCol w:w="9360"/>
      </w:tblGrid>
      <w:tr>
        <w:tc>
          <w:tcPr>
            <w:tcW w:type="dxa" w:w="9360"/>
            <w:shd w:fill="ECFDF5" w:val="clear"/>
            <w:tcMar>
              <w:top w:type="dxa" w:w="180"/>
              <w:left w:type="dxa" w:w="240"/>
              <w:bottom w:type="dxa" w:w="180"/>
              <w:right w:type="dxa" w:w="240"/>
            </w:tcMar>
          </w:tcPr>
          <w:p>
            <w:pPr>
              <w:spacing w:after="80"/>
            </w:pPr>
            <w:r>
              <w:rPr>
                <w:rFonts w:ascii="Calibri" w:cs="Calibri" w:eastAsia="Calibri" w:hAnsi="Calibri"/>
                <w:b/>
                <w:bCs/>
                <w:color w:val="059669"/>
                <w:sz w:val="22"/>
                <w:szCs w:val="22"/>
              </w:rPr>
              <w:t xml:space="preserve">Suggested sprint breakdown</w:t>
            </w:r>
          </w:p>
          <w:p>
            <w:pPr>
              <w:spacing w:after="60" w:line="300"/>
            </w:pPr>
            <w:r>
              <w:rPr>
                <w:rFonts w:ascii="Calibri" w:cs="Calibri" w:eastAsia="Calibri" w:hAnsi="Calibri"/>
                <w:color w:val="334155"/>
                <w:sz w:val="22"/>
                <w:szCs w:val="22"/>
              </w:rPr>
              <w:t xml:space="preserve">Sprint 1 (2 weeks): Items 1, 2, 3 and start of 4. Quick wins land first; users and prospects see immediate polish.</w:t>
            </w:r>
          </w:p>
          <w:p>
            <w:pPr>
              <w:spacing w:after="60" w:line="300"/>
            </w:pPr>
            <w:r>
              <w:rPr>
                <w:rFonts w:ascii="Calibri" w:cs="Calibri" w:eastAsia="Calibri" w:hAnsi="Calibri"/>
                <w:color w:val="334155"/>
                <w:sz w:val="22"/>
                <w:szCs w:val="22"/>
              </w:rPr>
              <w:t xml:space="preserve">Sprint 2 (3 weeks): Items 4, 5, 8. Foundation for contract-aware billing and aggregated compliance.</w:t>
            </w:r>
          </w:p>
          <w:p>
            <w:pPr>
              <w:spacing w:after="60" w:line="300"/>
            </w:pPr>
            <w:r>
              <w:rPr>
                <w:rFonts w:ascii="Calibri" w:cs="Calibri" w:eastAsia="Calibri" w:hAnsi="Calibri"/>
                <w:color w:val="334155"/>
                <w:sz w:val="22"/>
                <w:szCs w:val="22"/>
              </w:rPr>
              <w:t xml:space="preserve">Sprint 3 (3 weeks): Items 6, 7. The two security-specific modules that nobody else has.</w:t>
            </w:r>
          </w:p>
          <w:p>
            <w:pPr>
              <w:spacing w:after="0" w:line="300"/>
            </w:pPr>
            <w:r>
              <w:rPr>
                <w:rFonts w:ascii="Calibri" w:cs="Calibri" w:eastAsia="Calibri" w:hAnsi="Calibri"/>
                <w:color w:val="334155"/>
                <w:sz w:val="22"/>
                <w:szCs w:val="22"/>
              </w:rPr>
              <w:t xml:space="preserve">Sprint 4 (4 weeks): Items 9, 10, 11, 12. The accounting-grade and mobile polish that lets you sell upmarket.</w:t>
            </w:r>
          </w:p>
        </w:tc>
      </w:tr>
    </w:tbl>
    <w:p>
      <w:pPr>
        <w:pStyle w:val="Heading1"/>
        <w:pageBreakBefore/>
        <w:pBdr>
          <w:bottom w:val="single" w:color="DC2626" w:sz="12" w:space="6"/>
        </w:pBdr>
        <w:spacing w:after="180" w:before="200"/>
      </w:pPr>
      <w:r>
        <w:rPr>
          <w:rFonts w:ascii="Calibri" w:cs="Calibri" w:eastAsia="Calibri" w:hAnsi="Calibri"/>
          <w:b/>
          <w:bCs/>
          <w:color w:val="991B1B"/>
          <w:sz w:val="36"/>
          <w:szCs w:val="36"/>
        </w:rPr>
        <w:t xml:space="preserve">10. Appendix: Field Reference</w:t>
      </w:r>
    </w:p>
    <w:p>
      <w:pPr>
        <w:spacing w:after="120" w:before="0" w:line="300"/>
        <w:jc w:val="left"/>
      </w:pPr>
      <w:r>
        <w:rPr>
          <w:rFonts w:ascii="Calibri" w:cs="Calibri" w:eastAsia="Calibri" w:hAnsi="Calibri"/>
          <w:b w:val="false"/>
          <w:bCs w:val="false"/>
          <w:i w:val="false"/>
          <w:iCs w:val="false"/>
          <w:color w:val="334155"/>
          <w:sz w:val="22"/>
          <w:szCs w:val="22"/>
        </w:rPr>
        <w:t xml:space="preserve">Quick-reference field tables for the most critical forms. Use as the spec when implementing.</w:t>
      </w:r>
    </w:p>
    <w:p>
      <w:pPr>
        <w:pStyle w:val="Heading2"/>
        <w:spacing w:after="100" w:before="280"/>
      </w:pPr>
      <w:r>
        <w:rPr>
          <w:rFonts w:ascii="Calibri" w:cs="Calibri" w:eastAsia="Calibri" w:hAnsi="Calibri"/>
          <w:b/>
          <w:bCs/>
          <w:color w:val="0F172A"/>
          <w:sz w:val="28"/>
          <w:szCs w:val="28"/>
        </w:rPr>
        <w:t xml:space="preserve">A.1 Employee form (full)</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000"/>
        <w:gridCol w:w="1800"/>
        <w:gridCol w:w="1000"/>
        <w:gridCol w:w="3560"/>
      </w:tblGrid>
      <w:tr>
        <w:trPr>
          <w:tblHeader/>
        </w:trPr>
        <w:tc>
          <w:tcPr>
            <w:tcW w:type="dxa" w:w="3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8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1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Req</w:t>
            </w:r>
          </w:p>
        </w:tc>
        <w:tc>
          <w:tcPr>
            <w:tcW w:type="dxa" w:w="356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Full Name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As per CNIC</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CNIC Number</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 (13 digits)</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Format: XXXXX-XXXXXXX-X</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Father / Husband Name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As per CNIC</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Date of Birth</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Drives EOBI eligibility</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Blood Group</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A+, A-, B+, B-, O+, O-, AB+, AB-</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Phone Number</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phone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+92 format with validation</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Permanent Address</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Current Address</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Defaults to Permanent if blank</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Emergency Contact Name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Emergency Contact Relation</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Spouse, Parent, Sibling, Other</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Emergency Contact Phone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phone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Employee Type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Guard / Supervisor / Office / Reliever</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Client</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Conditional</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Required if type = Guard</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Contract</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Conditional</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Filtered by selected client</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Primary Branch</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For cost ownership</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Additional Branches</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multi-select</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Visibility only</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Department</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Configurable list</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Shift</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radio</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Day / Night / Both</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Reporting To</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employee picker</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Supervisor</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Contract Type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Permanent / Contract / Probation / Daily</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Join Date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Probation End Date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Base Salary (PKR)</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currency</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Per Day Salary (PKR)</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currency</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Auto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Base / days in month</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Bank Name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Pakistani banks list</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IBAN</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 (24 chars)</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PK-format validation</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EOBI Registration Number</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Once issued</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Weapon Licence Number</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Conditional</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If guard carries weapon</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Weapon Licence Expiry</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Conditional</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Feeds Compliance Calendar</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Guard Service Licence Number</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Guard Service Licence Expiry</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Feeds Compliance Calendar</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Medical Fitness Cert Expiry</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Feeds Compliance Calendar</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CNIC Document</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file upload</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Scan</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Police Verification</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file upload</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Scan</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Profile Photo</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file upload</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JPG / PNG</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Other Documents</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file upload (multi)</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
            </w:r>
          </w:p>
        </w:tc>
      </w:tr>
    </w:tbl>
    <w:p>
      <w:pPr>
        <w:pStyle w:val="Heading2"/>
        <w:spacing w:after="100" w:before="280"/>
      </w:pPr>
      <w:r>
        <w:rPr>
          <w:rFonts w:ascii="Calibri" w:cs="Calibri" w:eastAsia="Calibri" w:hAnsi="Calibri"/>
          <w:b/>
          <w:bCs/>
          <w:color w:val="0F172A"/>
          <w:sz w:val="28"/>
          <w:szCs w:val="28"/>
        </w:rPr>
        <w:t xml:space="preserve">A.2 Client form (full)</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000"/>
        <w:gridCol w:w="1800"/>
        <w:gridCol w:w="1000"/>
        <w:gridCol w:w="3560"/>
      </w:tblGrid>
      <w:tr>
        <w:trPr>
          <w:tblHeader/>
        </w:trPr>
        <w:tc>
          <w:tcPr>
            <w:tcW w:type="dxa" w:w="3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8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1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Req</w:t>
            </w:r>
          </w:p>
        </w:tc>
        <w:tc>
          <w:tcPr>
            <w:tcW w:type="dxa" w:w="356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Client Name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Registered business name</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Email</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email</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Primary billing contact</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Phone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phone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Industry</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Banking, Education, Residential, Retail, etc.</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NTN</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National Tax Number</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STRN</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Sales Tax Registration Number</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Filer Status</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Filer / Non-filer</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Withholding Tax Rate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percentage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Applied to all invoices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Billing Address</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Authorised Signatory</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Person who signs contracts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Signatory CNIC</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text</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Default Branch</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Inherited by employees</w:t>
            </w:r>
          </w:p>
        </w:tc>
      </w:tr>
    </w:tbl>
    <w:p>
      <w:pPr>
        <w:pStyle w:val="Heading2"/>
        <w:spacing w:after="100" w:before="280"/>
      </w:pPr>
      <w:r>
        <w:rPr>
          <w:rFonts w:ascii="Calibri" w:cs="Calibri" w:eastAsia="Calibri" w:hAnsi="Calibri"/>
          <w:b/>
          <w:bCs/>
          <w:color w:val="0F172A"/>
          <w:sz w:val="28"/>
          <w:szCs w:val="28"/>
        </w:rPr>
        <w:t xml:space="preserve">A.3 Contract form (full)</w:t>
      </w:r>
    </w:p>
    <w:tbl>
      <w:tblPr>
        <w:tblW w:type="dxa" w:w="9360"/>
        <w:tblBorders>
          <w:top w:val="single" w:color="CBD5E1" w:sz="4"/>
          <w:left w:val="single" w:color="CBD5E1" w:sz="4"/>
          <w:bottom w:val="single" w:color="CBD5E1" w:sz="4"/>
          <w:right w:val="single" w:color="CBD5E1" w:sz="4"/>
          <w:insideH w:val="single" w:color="CBD5E1" w:sz="2"/>
          <w:insideV w:val="single" w:color="CBD5E1" w:sz="2"/>
        </w:tblBorders>
      </w:tblPr>
      <w:tblGrid>
        <w:gridCol w:w="3000"/>
        <w:gridCol w:w="1800"/>
        <w:gridCol w:w="1000"/>
        <w:gridCol w:w="3560"/>
      </w:tblGrid>
      <w:tr>
        <w:trPr>
          <w:tblHeader/>
        </w:trPr>
        <w:tc>
          <w:tcPr>
            <w:tcW w:type="dxa" w:w="3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Field</w:t>
            </w:r>
          </w:p>
        </w:tc>
        <w:tc>
          <w:tcPr>
            <w:tcW w:type="dxa" w:w="18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100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Req</w:t>
            </w:r>
          </w:p>
        </w:tc>
        <w:tc>
          <w:tcPr>
            <w:tcW w:type="dxa" w:w="3560"/>
            <w:shd w:fill="0F172A"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Client</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foreign key</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Pick from Clients</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Contract Type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Static / Mobile Patrol / Event / Reliever Pool</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Start Date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End Date</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date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Triggers renewal alerts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Number of Guards</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number</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Shift Pattern</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dropdown</w:t>
            </w:r>
          </w:p>
        </w:tc>
        <w:tc>
          <w:tcPr>
            <w:tcW w:type="dxa" w:w="1000"/>
            <w:shd w:fill="F8FAFC"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Day / Night / Both / Custom</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Rate per Guard per Month</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currency</w:t>
            </w:r>
          </w:p>
        </w:tc>
        <w:tc>
          <w:tcPr>
            <w:tcW w:type="dxa" w:w="1000"/>
            <w:shd w:fill="FFFFFF" w:val="clear"/>
            <w:tcMar>
              <w:top w:type="dxa" w:w="80"/>
              <w:left w:type="dxa" w:w="140"/>
              <w:bottom w:type="dxa" w:w="80"/>
              <w:right w:type="dxa" w:w="140"/>
            </w:tcMar>
          </w:tcPr>
          <w:p>
            <w:pPr>
              <w:jc w:val="center"/>
            </w:pPr>
            <w:r>
              <w:rPr>
                <w:rFonts w:ascii="Calibri" w:cs="Calibri" w:eastAsia="Calibri" w:hAnsi="Calibri"/>
                <w:b/>
                <w:bCs/>
                <w:color w:val="DC2626"/>
                <w:sz w:val="19"/>
                <w:szCs w:val="19"/>
              </w:rPr>
              <w:t xml:space="preserve">Yes</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Billing basis</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Allowed Leaves per Month</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number</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Per employee under contract</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EOBI Deduction</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boolean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Billed to client or absorbed</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Annual Escalation %</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percentage</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Auto-applied on anniversary</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Auto-Generate Invoice</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boolean</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Issues monthly on day 1</w:t>
            </w:r>
          </w:p>
        </w:tc>
      </w:tr>
      <w:tr>
        <w:tc>
          <w:tcPr>
            <w:tcW w:type="dxa" w:w="3000"/>
            <w:shd w:fill="F8FAFC" w:val="clear"/>
            <w:tcMar>
              <w:top w:type="dxa" w:w="80"/>
              <w:left w:type="dxa" w:w="140"/>
              <w:bottom w:type="dxa" w:w="80"/>
              <w:right w:type="dxa" w:w="140"/>
            </w:tcMar>
          </w:tcPr>
          <w:p>
            <w:r>
              <w:rPr>
                <w:rFonts w:ascii="Calibri" w:cs="Calibri" w:eastAsia="Calibri" w:hAnsi="Calibri"/>
                <w:b/>
                <w:bCs/>
                <w:color w:val="0F172A"/>
                <w:sz w:val="19"/>
                <w:szCs w:val="19"/>
              </w:rPr>
              <w:t xml:space="preserve">Renewal Terms</w:t>
            </w:r>
          </w:p>
        </w:tc>
        <w:tc>
          <w:tcPr>
            <w:tcW w:type="dxa" w:w="1800"/>
            <w:shd w:fill="F8FAFC" w:val="clear"/>
            <w:tcMar>
              <w:top w:type="dxa" w:w="80"/>
              <w:left w:type="dxa" w:w="140"/>
              <w:bottom w:type="dxa" w:w="80"/>
              <w:right w:type="dxa" w:w="140"/>
            </w:tcMar>
          </w:tcPr>
          <w:p>
            <w:r>
              <w:rPr>
                <w:rFonts w:ascii="Consolas" w:cs="Consolas" w:eastAsia="Consolas" w:hAnsi="Consolas"/>
                <w:color w:val="334155"/>
                <w:sz w:val="19"/>
                <w:szCs w:val="19"/>
              </w:rPr>
              <w:t xml:space="preserve">text (long)</w:t>
            </w:r>
          </w:p>
        </w:tc>
        <w:tc>
          <w:tcPr>
            <w:tcW w:type="dxa" w:w="1000"/>
            <w:shd w:fill="F8FAFC"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8FAFC" w:val="clear"/>
            <w:tcMar>
              <w:top w:type="dxa" w:w="80"/>
              <w:left w:type="dxa" w:w="140"/>
              <w:bottom w:type="dxa" w:w="80"/>
              <w:right w:type="dxa" w:w="140"/>
            </w:tcMar>
          </w:tcPr>
          <w:p>
            <w:r>
              <w:rPr>
                <w:rFonts w:ascii="Calibri" w:cs="Calibri" w:eastAsia="Calibri" w:hAnsi="Calibri"/>
                <w:color w:val="334155"/>
                <w:sz w:val="19"/>
                <w:szCs w:val="19"/>
              </w:rPr>
              <w:t xml:space="preserve">Free text for special clauses</w:t>
            </w:r>
          </w:p>
        </w:tc>
      </w:tr>
      <w:tr>
        <w:tc>
          <w:tcPr>
            <w:tcW w:type="dxa" w:w="3000"/>
            <w:shd w:fill="FFFFFF" w:val="clear"/>
            <w:tcMar>
              <w:top w:type="dxa" w:w="80"/>
              <w:left w:type="dxa" w:w="140"/>
              <w:bottom w:type="dxa" w:w="80"/>
              <w:right w:type="dxa" w:w="140"/>
            </w:tcMar>
          </w:tcPr>
          <w:p>
            <w:r>
              <w:rPr>
                <w:rFonts w:ascii="Calibri" w:cs="Calibri" w:eastAsia="Calibri" w:hAnsi="Calibri"/>
                <w:b/>
                <w:bCs/>
                <w:color w:val="0F172A"/>
                <w:sz w:val="19"/>
                <w:szCs w:val="19"/>
              </w:rPr>
              <w:t xml:space="preserve">Contract Document</w:t>
            </w:r>
          </w:p>
        </w:tc>
        <w:tc>
          <w:tcPr>
            <w:tcW w:type="dxa" w:w="1800"/>
            <w:shd w:fill="FFFFFF" w:val="clear"/>
            <w:tcMar>
              <w:top w:type="dxa" w:w="80"/>
              <w:left w:type="dxa" w:w="140"/>
              <w:bottom w:type="dxa" w:w="80"/>
              <w:right w:type="dxa" w:w="140"/>
            </w:tcMar>
          </w:tcPr>
          <w:p>
            <w:r>
              <w:rPr>
                <w:rFonts w:ascii="Consolas" w:cs="Consolas" w:eastAsia="Consolas" w:hAnsi="Consolas"/>
                <w:color w:val="334155"/>
                <w:sz w:val="19"/>
                <w:szCs w:val="19"/>
              </w:rPr>
              <w:t xml:space="preserve">file upload</w:t>
            </w:r>
          </w:p>
        </w:tc>
        <w:tc>
          <w:tcPr>
            <w:tcW w:type="dxa" w:w="1000"/>
            <w:shd w:fill="FFFFFF" w:val="clear"/>
            <w:tcMar>
              <w:top w:type="dxa" w:w="80"/>
              <w:left w:type="dxa" w:w="140"/>
              <w:bottom w:type="dxa" w:w="80"/>
              <w:right w:type="dxa" w:w="140"/>
            </w:tcMar>
          </w:tcPr>
          <w:p>
            <w:pPr>
              <w:jc w:val="center"/>
            </w:pPr>
            <w:r>
              <w:rPr>
                <w:rFonts w:ascii="Calibri" w:cs="Calibri" w:eastAsia="Calibri" w:hAnsi="Calibri"/>
                <w:b w:val="false"/>
                <w:bCs w:val="false"/>
                <w:color w:val="64748B"/>
                <w:sz w:val="19"/>
                <w:szCs w:val="19"/>
              </w:rPr>
              <w:t xml:space="preserve">No</w:t>
            </w:r>
          </w:p>
        </w:tc>
        <w:tc>
          <w:tcPr>
            <w:tcW w:type="dxa" w:w="3560"/>
            <w:shd w:fill="FFFFFF" w:val="clear"/>
            <w:tcMar>
              <w:top w:type="dxa" w:w="80"/>
              <w:left w:type="dxa" w:w="140"/>
              <w:bottom w:type="dxa" w:w="80"/>
              <w:right w:type="dxa" w:w="140"/>
            </w:tcMar>
          </w:tcPr>
          <w:p>
            <w:r>
              <w:rPr>
                <w:rFonts w:ascii="Calibri" w:cs="Calibri" w:eastAsia="Calibri" w:hAnsi="Calibri"/>
                <w:color w:val="334155"/>
                <w:sz w:val="19"/>
                <w:szCs w:val="19"/>
              </w:rPr>
              <w:t xml:space="preserve">Scanned signed copy</w:t>
            </w:r>
          </w:p>
        </w:tc>
      </w:tr>
    </w:tbl>
    <w:p>
      <w:pPr>
        <w:spacing w:after="300"/>
      </w:pPr>
      <w:r>
        <w:t xml:space="preserve"/>
      </w:r>
    </w:p>
    <w:p>
      <w:pPr>
        <w:pBdr>
          <w:bottom w:val="single" w:color="DC2626" w:sz="18" w:space="1"/>
        </w:pBdr>
        <w:spacing w:after="60" w:before="60"/>
      </w:pPr>
      <w:r>
        <w:t xml:space="preserve"/>
      </w:r>
    </w:p>
    <w:p>
      <w:pPr>
        <w:spacing w:after="200"/>
      </w:pPr>
      <w:r>
        <w:t xml:space="preserve"/>
      </w:r>
    </w:p>
    <w:p>
      <w:pPr>
        <w:spacing w:after="60"/>
        <w:jc w:val="center"/>
      </w:pPr>
      <w:r>
        <w:rPr>
          <w:rFonts w:ascii="Calibri" w:cs="Calibri" w:eastAsia="Calibri" w:hAnsi="Calibri"/>
          <w:b/>
          <w:bCs/>
          <w:color w:val="0F172A"/>
          <w:sz w:val="22"/>
          <w:szCs w:val="22"/>
        </w:rPr>
        <w:t xml:space="preserve">End of specification</w:t>
      </w:r>
    </w:p>
    <w:p>
      <w:pPr>
        <w:spacing w:after="0"/>
        <w:jc w:val="center"/>
      </w:pPr>
      <w:r>
        <w:rPr>
          <w:rFonts w:ascii="Calibri" w:cs="Calibri" w:eastAsia="Calibri" w:hAnsi="Calibri"/>
          <w:i/>
          <w:iCs/>
          <w:color w:val="64748B"/>
          <w:sz w:val="20"/>
          <w:szCs w:val="20"/>
        </w:rPr>
        <w:t xml:space="preserve">Treat this as version 1.0. Revise as decisions are made during implementation.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TECHXSERVE CRM Developer Specification   •   </w:t>
    </w:r>
    <w:r>
      <w:rPr>
        <w:rFonts w:ascii="Calibri" w:cs="Calibri" w:eastAsia="Calibri" w:hAnsi="Calibri"/>
        <w:color w:val="64748B"/>
        <w:sz w:val="16"/>
        <w:szCs w:val="16"/>
      </w:rPr>
      <w:t xml:space="preserve">Internal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TECHXSERVE CRM Developer Specification</dc:title>
  <dc:creator>TECHXSERVE Enterprise LLC</dc:creator>
  <dc:description>Developer brief for security-services CRM restructure.</dc:description>
  <cp:lastModifiedBy>Un-named</cp:lastModifiedBy>
  <cp:revision>1</cp:revision>
  <dcterms:created xsi:type="dcterms:W3CDTF">2026-05-25T08:06:05.702Z</dcterms:created>
  <dcterms:modified xsi:type="dcterms:W3CDTF">2026-05-25T08:06:05.702Z</dcterms:modified>
</cp:coreProperties>
</file>

<file path=docProps/custom.xml><?xml version="1.0" encoding="utf-8"?>
<Properties xmlns="http://schemas.openxmlformats.org/officeDocument/2006/custom-properties" xmlns:vt="http://schemas.openxmlformats.org/officeDocument/2006/docPropsVTypes"/>
</file>