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2748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Guidelines for the Deontic Statement Annotation Tool</w:t>
      </w:r>
    </w:p>
    <w:p w14:paraId="26BEC388" w14:textId="77777777" w:rsidR="0082397D" w:rsidRPr="002053D6" w:rsidRDefault="007719EA" w:rsidP="0082397D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DF0626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F601218" w14:textId="77777777" w:rsidR="0082397D" w:rsidRPr="002053D6" w:rsidRDefault="0082397D" w:rsidP="0082397D">
      <w:pPr>
        <w:spacing w:before="100" w:beforeAutospacing="1" w:after="100" w:afterAutospac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Introduction</w:t>
      </w:r>
    </w:p>
    <w:p w14:paraId="23A30CD2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tool is designed to help annotators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identify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obligations, prohibitions, and permissions from UK legislative acts following the provided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Annotation Guidelines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Pr="00A35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provides an interface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to</w:t>
      </w:r>
      <w:r w:rsidRPr="00A35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systematically </w:t>
      </w:r>
      <w:r w:rsidRPr="00A353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annotations</w:t>
      </w:r>
      <w:r w:rsidRPr="00A35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where users can </w:t>
      </w:r>
      <w:r w:rsidRPr="00A353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copy</w:t>
      </w:r>
      <w:r w:rsidRPr="00A35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relevant legal text, </w:t>
      </w:r>
      <w:r w:rsidRPr="00A353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paste</w:t>
      </w:r>
      <w:r w:rsidRPr="00A35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 into the designated template slots, and, if necessary, </w:t>
      </w:r>
      <w:r w:rsidRPr="00A353C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make minimal revisions</w:t>
      </w:r>
      <w:r w:rsidRPr="00A353C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copied text.</w:t>
      </w:r>
    </w:p>
    <w:p w14:paraId="412F8F8F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Annotations can be saved and exported when finished. This document provides clear, step-by-step instructions for using the tool effectively.</w:t>
      </w:r>
    </w:p>
    <w:p w14:paraId="58A32E6D" w14:textId="77777777" w:rsidR="0082397D" w:rsidRPr="002053D6" w:rsidRDefault="007719EA" w:rsidP="0082397D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8EEF5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738DE66" w14:textId="77777777" w:rsidR="0082397D" w:rsidRPr="002053D6" w:rsidRDefault="0082397D" w:rsidP="0082397D">
      <w:pPr>
        <w:spacing w:before="100" w:beforeAutospacing="1" w:after="100" w:afterAutospac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Understanding the Template</w:t>
      </w:r>
    </w:p>
    <w:p w14:paraId="2BB89784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annotation should fill the following slots:</w:t>
      </w:r>
    </w:p>
    <w:p w14:paraId="63998016" w14:textId="77777777" w:rsidR="0082397D" w:rsidRPr="002053D6" w:rsidRDefault="0082397D" w:rsidP="0082397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 IS: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(Mandatory) Choose between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OBLIGATORY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PROHIBITED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PERMITTED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2D3C3BB" w14:textId="77777777" w:rsidR="0082397D" w:rsidRPr="002053D6" w:rsidRDefault="0082397D" w:rsidP="0082397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(Mandatory) Indicate the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Authority, Person, or Entity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responsible.</w:t>
      </w:r>
    </w:p>
    <w:p w14:paraId="61089A73" w14:textId="77777777" w:rsidR="0082397D" w:rsidRPr="002053D6" w:rsidRDefault="0082397D" w:rsidP="0082397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(Mandatory) Describe the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Action or Requirement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21A0C7D" w14:textId="77777777" w:rsidR="0082397D" w:rsidRPr="002053D6" w:rsidRDefault="0082397D" w:rsidP="0082397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 xml:space="preserve">2 x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WHEN/IF/WHERE, ONLY IF, BEFORE, AFTER, UNLESS: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(Optional) Specify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max 2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conditions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needed.</w:t>
      </w:r>
    </w:p>
    <w:p w14:paraId="5C5DE1AA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Important:</w:t>
      </w:r>
    </w:p>
    <w:p w14:paraId="18A710D3" w14:textId="77777777" w:rsidR="0082397D" w:rsidRPr="002053D6" w:rsidRDefault="0082397D" w:rsidP="0082397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Always prioritize minimal rephrasing for fluency and grammatical correctness.</w:t>
      </w:r>
    </w:p>
    <w:p w14:paraId="5C3D2EDD" w14:textId="77777777" w:rsidR="0082397D" w:rsidRPr="002053D6" w:rsidRDefault="0082397D" w:rsidP="0082397D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Focus only on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regulative norms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(obligations, permissions, prohibitions), </w:t>
      </w:r>
      <w:r w:rsidRPr="00ED25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excluding definitions or other types of text. The tool is designed to identify </w:t>
      </w:r>
      <w:r w:rsidRPr="00ED259A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only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</w:t>
      </w:r>
      <w:r w:rsidRPr="00ED25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regulative norms.</w:t>
      </w:r>
    </w:p>
    <w:p w14:paraId="323BC7AD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commentRangeStart w:id="0"/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(Reference: Full Annotation Guidelines provided)</w:t>
      </w:r>
      <w:commentRangeEnd w:id="0"/>
      <w:r>
        <w:rPr>
          <w:rStyle w:val="CommentReference"/>
        </w:rPr>
        <w:commentReference w:id="0"/>
      </w:r>
    </w:p>
    <w:p w14:paraId="3A680733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43E8F0B7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5A67775E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4E5B37A6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1C72C7BA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7A64FE0A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0F72ACD0" w14:textId="77777777" w:rsidR="0082397D" w:rsidRPr="00ED259A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3D5C5FAF" w14:textId="77777777" w:rsidR="0082397D" w:rsidRPr="002053D6" w:rsidRDefault="007719EA" w:rsidP="0082397D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645828E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BCF984A" w14:textId="77777777" w:rsidR="0082397D" w:rsidRPr="002053D6" w:rsidRDefault="0082397D" w:rsidP="0082397D">
      <w:pPr>
        <w:spacing w:before="100" w:beforeAutospacing="1" w:after="100" w:afterAutospac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commentRangeStart w:id="1"/>
      <w:r w:rsidRPr="002053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Step-by-Step: How to Use the Tool</w:t>
      </w:r>
      <w:commentRangeEnd w:id="1"/>
      <w:r>
        <w:rPr>
          <w:rStyle w:val="CommentReference"/>
        </w:rPr>
        <w:commentReference w:id="1"/>
      </w:r>
    </w:p>
    <w:p w14:paraId="06120EF3" w14:textId="77777777" w:rsidR="0082397D" w:rsidRPr="002053D6" w:rsidRDefault="0082397D" w:rsidP="0082397D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Identifying the Text to Annotate</w:t>
      </w:r>
    </w:p>
    <w:p w14:paraId="7DD43F5D" w14:textId="77777777" w:rsidR="0082397D" w:rsidRPr="002053D6" w:rsidRDefault="0082397D" w:rsidP="0082397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Use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legislative text on the right side of the screen.</w:t>
      </w:r>
    </w:p>
    <w:p w14:paraId="528FD0BD" w14:textId="77777777" w:rsidR="0082397D" w:rsidRPr="002053D6" w:rsidRDefault="0082397D" w:rsidP="0082397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Find a sentence or section that states an obligation, prohibition, or permission.</w:t>
      </w:r>
    </w:p>
    <w:p w14:paraId="7247C989" w14:textId="77777777" w:rsidR="0082397D" w:rsidRPr="002053D6" w:rsidRDefault="0082397D" w:rsidP="0082397D">
      <w:pPr>
        <w:spacing w:before="480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Filling the Template</w:t>
      </w:r>
    </w:p>
    <w:p w14:paraId="470B75AB" w14:textId="77777777" w:rsidR="0082397D" w:rsidRPr="00ED259A" w:rsidRDefault="0082397D" w:rsidP="0082397D">
      <w:pPr>
        <w:pStyle w:val="ListParagraph"/>
        <w:numPr>
          <w:ilvl w:val="1"/>
          <w:numId w:val="3"/>
        </w:numPr>
        <w:tabs>
          <w:tab w:val="clear" w:pos="1440"/>
        </w:tabs>
        <w:spacing w:before="100" w:beforeAutospacing="1" w:after="120"/>
        <w:ind w:left="360" w:hanging="274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25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 IS:</w:t>
      </w:r>
    </w:p>
    <w:p w14:paraId="1DAE065A" w14:textId="77777777" w:rsidR="0082397D" w:rsidRPr="00ED259A" w:rsidRDefault="0082397D" w:rsidP="0082397D">
      <w:pPr>
        <w:numPr>
          <w:ilvl w:val="0"/>
          <w:numId w:val="4"/>
        </w:numPr>
        <w:spacing w:before="120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dropdown menu to select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OBLIGATORY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PROHIBITED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PERMITTED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8366D62" w14:textId="77777777" w:rsidR="0082397D" w:rsidRPr="00ED259A" w:rsidRDefault="0082397D" w:rsidP="0082397D">
      <w:pPr>
        <w:pStyle w:val="ListParagraph"/>
        <w:numPr>
          <w:ilvl w:val="1"/>
          <w:numId w:val="3"/>
        </w:numPr>
        <w:tabs>
          <w:tab w:val="clear" w:pos="1440"/>
        </w:tabs>
        <w:spacing w:before="100" w:beforeAutospacing="1" w:after="120"/>
        <w:ind w:left="360" w:hanging="274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25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FOR:</w:t>
      </w:r>
    </w:p>
    <w:p w14:paraId="1B0F1568" w14:textId="77777777" w:rsidR="0082397D" w:rsidRPr="0004597C" w:rsidRDefault="0082397D" w:rsidP="0082397D">
      <w:pPr>
        <w:numPr>
          <w:ilvl w:val="0"/>
          <w:numId w:val="5"/>
        </w:numPr>
        <w:spacing w:before="120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the "Authority, Person, Entity" box, paste or rephrase who must (or must not) act.</w:t>
      </w:r>
    </w:p>
    <w:p w14:paraId="2CB4F13A" w14:textId="77777777" w:rsidR="0082397D" w:rsidRPr="00ED259A" w:rsidRDefault="0082397D" w:rsidP="0082397D">
      <w:pPr>
        <w:pStyle w:val="ListParagraph"/>
        <w:numPr>
          <w:ilvl w:val="1"/>
          <w:numId w:val="3"/>
        </w:numPr>
        <w:tabs>
          <w:tab w:val="clear" w:pos="1440"/>
        </w:tabs>
        <w:spacing w:before="100" w:beforeAutospacing="1" w:after="120"/>
        <w:ind w:left="360" w:hanging="274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TO</w:t>
      </w:r>
      <w:r w:rsidRPr="00ED25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34970B9F" w14:textId="77777777" w:rsidR="0082397D" w:rsidRPr="0004597C" w:rsidRDefault="0082397D" w:rsidP="0082397D">
      <w:pPr>
        <w:numPr>
          <w:ilvl w:val="0"/>
          <w:numId w:val="5"/>
        </w:numPr>
        <w:spacing w:before="120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59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the "Action, Requirement" box, paste or rephrase what action must</w:t>
      </w:r>
      <w:r w:rsidRPr="0004597C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,</w:t>
      </w:r>
      <w:r w:rsidRPr="000459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must</w:t>
      </w:r>
      <w:r w:rsidRPr="0004597C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</w:t>
      </w:r>
      <w:r w:rsidRPr="000459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</w:t>
      </w:r>
      <w:r w:rsidRPr="0004597C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, or can</w:t>
      </w:r>
      <w:r w:rsidRPr="000459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 done.</w:t>
      </w:r>
    </w:p>
    <w:p w14:paraId="21A5AC87" w14:textId="77777777" w:rsidR="0082397D" w:rsidRPr="00ED259A" w:rsidRDefault="0082397D" w:rsidP="0082397D">
      <w:pPr>
        <w:pStyle w:val="ListParagraph"/>
        <w:numPr>
          <w:ilvl w:val="1"/>
          <w:numId w:val="3"/>
        </w:numPr>
        <w:tabs>
          <w:tab w:val="clear" w:pos="1440"/>
        </w:tabs>
        <w:spacing w:before="100" w:beforeAutospacing="1" w:after="100" w:afterAutospacing="1"/>
        <w:ind w:left="360" w:hanging="27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WHEN/IF/WHERE</w:t>
      </w:r>
      <w:r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 xml:space="preserve"> (Optional conditions – max 2)</w:t>
      </w:r>
      <w:r w:rsidRPr="00ED25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6BD881BE" w14:textId="77777777" w:rsidR="0082397D" w:rsidRPr="002053D6" w:rsidRDefault="0082397D" w:rsidP="0082397D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 obligation or permission only applies under specific conditions, fill the "Condition details" box under the "WHEN/IF/WHERE" dropdown.</w:t>
      </w:r>
    </w:p>
    <w:p w14:paraId="6BF659E5" w14:textId="77777777" w:rsidR="0082397D" w:rsidRPr="00ED259A" w:rsidRDefault="0082397D" w:rsidP="0082397D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the dropdown to select other types of conditions like ONLY IF, BEFORE, AFTER, or UNLESS if appropriate.</w:t>
      </w:r>
    </w:p>
    <w:p w14:paraId="64E39A67" w14:textId="77777777" w:rsidR="0082397D" w:rsidRPr="00ED259A" w:rsidRDefault="0082397D" w:rsidP="0082397D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If no condition applies, leave the two boxes empty (they are optional!).</w:t>
      </w:r>
    </w:p>
    <w:p w14:paraId="0AA75722" w14:textId="77777777" w:rsidR="0082397D" w:rsidRPr="00ED259A" w:rsidRDefault="0082397D" w:rsidP="0082397D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D25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tool allows you to specify a maximum of 2 conditions. If you need to add more than 2 conditions, you will have to do so manually in the final text file.</w:t>
      </w:r>
    </w:p>
    <w:p w14:paraId="50C6748A" w14:textId="77777777" w:rsidR="0082397D" w:rsidRPr="002053D6" w:rsidRDefault="0082397D" w:rsidP="0082397D">
      <w:pPr>
        <w:spacing w:before="480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Adding the Annotation</w:t>
      </w:r>
    </w:p>
    <w:p w14:paraId="6871AD05" w14:textId="77777777" w:rsidR="0082397D" w:rsidRPr="002053D6" w:rsidRDefault="0082397D" w:rsidP="0082397D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Once the fields are complete, press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"Add Annotation"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C077F51" w14:textId="77777777" w:rsidR="0082397D" w:rsidRPr="002053D6" w:rsidRDefault="0082397D" w:rsidP="0082397D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annotation will be added to the export list (visible in the right-side panel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when you press “</w:t>
      </w:r>
      <w:r w:rsidRPr="0004597C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Show annotations done so far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”; press this button again to hide the list. You can also manually modify the text in the export list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76AC32D8" w14:textId="77777777" w:rsidR="0082397D" w:rsidRPr="002053D6" w:rsidRDefault="0082397D" w:rsidP="0082397D">
      <w:pPr>
        <w:spacing w:before="480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Exporting Annotations</w:t>
      </w:r>
    </w:p>
    <w:p w14:paraId="47278261" w14:textId="77777777" w:rsidR="0082397D" w:rsidRPr="002053D6" w:rsidRDefault="0082397D" w:rsidP="0082397D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completing all annotations:</w:t>
      </w:r>
    </w:p>
    <w:p w14:paraId="51C18B18" w14:textId="77777777" w:rsidR="0082397D" w:rsidRPr="002053D6" w:rsidRDefault="0082397D" w:rsidP="0082397D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"Export Annotations"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901F8FB" w14:textId="77777777" w:rsidR="0082397D" w:rsidRPr="002053D6" w:rsidRDefault="0082397D" w:rsidP="0082397D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text file will download containing all saved annotations.</w:t>
      </w:r>
    </w:p>
    <w:p w14:paraId="2BB95FD2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Important:</w:t>
      </w:r>
    </w:p>
    <w:p w14:paraId="019DBC55" w14:textId="77777777" w:rsidR="0082397D" w:rsidRPr="002053D6" w:rsidRDefault="0082397D" w:rsidP="0082397D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6329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If </w:t>
      </w:r>
      <w:r w:rsidRPr="00F6329D">
        <w:rPr>
          <w:rFonts w:ascii="Times New Roman" w:eastAsia="Times New Roman" w:hAnsi="Times New Roman" w:cs="Times New Roman"/>
          <w:kern w:val="0"/>
          <w14:ligatures w14:val="none"/>
        </w:rPr>
        <w:t xml:space="preserve">you inadvertently close or refresh the tab before exporting, the tool will automatically download the annotations made up to that point (the list you can view by clicking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“</w:t>
      </w:r>
      <w:r w:rsidRPr="00F6329D">
        <w:rPr>
          <w:rFonts w:ascii="Times New Roman" w:eastAsia="Times New Roman" w:hAnsi="Times New Roman" w:cs="Times New Roman"/>
          <w:kern w:val="0"/>
          <w14:ligatures w14:val="none"/>
        </w:rPr>
        <w:t>Show annotations done so far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”</w:t>
      </w:r>
      <w:r w:rsidRPr="00F6329D">
        <w:rPr>
          <w:rFonts w:ascii="Times New Roman" w:eastAsia="Times New Roman" w:hAnsi="Times New Roman" w:cs="Times New Roman"/>
          <w:kern w:val="0"/>
          <w14:ligatures w14:val="none"/>
        </w:rPr>
        <w:t>). This feature is designed to prevent any loss of work.</w:t>
      </w:r>
    </w:p>
    <w:p w14:paraId="1B4EAF78" w14:textId="77777777" w:rsidR="0082397D" w:rsidRPr="002053D6" w:rsidRDefault="007719EA" w:rsidP="0082397D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309DB9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4AE56FA" w14:textId="77777777" w:rsidR="0082397D" w:rsidRPr="002053D6" w:rsidRDefault="0082397D" w:rsidP="0082397D">
      <w:pPr>
        <w:spacing w:before="100" w:beforeAutospacing="1" w:after="100" w:afterAutospac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Example Walkthrough</w:t>
      </w:r>
    </w:p>
    <w:p w14:paraId="1F4B85A2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Consider Section 2(1) of the Children Act 1989: “</w:t>
      </w:r>
      <w:r w:rsidRPr="006269D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Where a child’s father and mother were married</w:t>
      </w:r>
      <w:r w:rsidRPr="006269D4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to, or civil partners of, each other at the time of his birth</w:t>
      </w:r>
      <w:r w:rsidRPr="006269D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, they shall each have parental responsibility for the child.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”</w:t>
      </w:r>
    </w:p>
    <w:p w14:paraId="2F525AA7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6269D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anchor distT="0" distB="0" distL="114300" distR="114300" simplePos="0" relativeHeight="251659264" behindDoc="1" locked="0" layoutInCell="1" allowOverlap="1" wp14:anchorId="6AA996CA" wp14:editId="25AB2BA7">
            <wp:simplePos x="0" y="0"/>
            <wp:positionH relativeFrom="column">
              <wp:posOffset>-510540</wp:posOffset>
            </wp:positionH>
            <wp:positionV relativeFrom="paragraph">
              <wp:posOffset>200660</wp:posOffset>
            </wp:positionV>
            <wp:extent cx="6817360" cy="3009900"/>
            <wp:effectExtent l="0" t="0" r="2540" b="0"/>
            <wp:wrapTopAndBottom/>
            <wp:docPr id="1653038639" name="Picture 1" descr="A paper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38639" name="Picture 1" descr="A paper with text on i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3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C7CBF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2DFA4C78" w14:textId="77777777" w:rsidR="0082397D" w:rsidRPr="006269D4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should annotate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this text 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 follows:</w:t>
      </w:r>
    </w:p>
    <w:p w14:paraId="765465B4" w14:textId="77777777" w:rsidR="0082397D" w:rsidRPr="002053D6" w:rsidRDefault="0082397D" w:rsidP="0082397D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 IS: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OBLIGATORY</w:t>
      </w:r>
    </w:p>
    <w:p w14:paraId="1ECEA53D" w14:textId="77777777" w:rsidR="0082397D" w:rsidRPr="002053D6" w:rsidRDefault="0082397D" w:rsidP="0082397D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 child's father and mother</w:t>
      </w:r>
    </w:p>
    <w:p w14:paraId="78A5D42C" w14:textId="77777777" w:rsidR="0082397D" w:rsidRPr="002053D6" w:rsidRDefault="0082397D" w:rsidP="0082397D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053D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have parental responsibility for the child</w:t>
      </w:r>
    </w:p>
    <w:p w14:paraId="0CC992F9" w14:textId="77777777" w:rsidR="0082397D" w:rsidRPr="006269D4" w:rsidRDefault="0082397D" w:rsidP="0082397D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WHEN/IF/WHERE: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6269D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they were married to, or civil partners of, each other at the time of his birth.</w:t>
      </w:r>
    </w:p>
    <w:p w14:paraId="2C181F05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0459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can, of course, copy and paste from the right side into the slots as shown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 the next screenshot</w:t>
      </w:r>
      <w:r w:rsidRPr="000459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where the text selected on the right is the one to be copied into the “</w:t>
      </w:r>
      <w:r w:rsidRPr="0004597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</w:t>
      </w:r>
      <w:r w:rsidRPr="000459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” slot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:</w:t>
      </w:r>
    </w:p>
    <w:p w14:paraId="346ABE03" w14:textId="77777777" w:rsidR="0082397D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7E083F98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269D4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 wp14:anchorId="4082DFBF" wp14:editId="75E9CEB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81225" cy="2567940"/>
            <wp:effectExtent l="0" t="0" r="635" b="3810"/>
            <wp:wrapTopAndBottom/>
            <wp:docPr id="1380749324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49324" name="Picture 1" descr="A white paper with black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2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CA780" w14:textId="77777777" w:rsidR="0082397D" w:rsidRPr="000141DF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However, occasionally, some minor rephrasing may be required to ensure the text on the left is fluent and readable. For example, since the “</w:t>
      </w:r>
      <w:r w:rsidRPr="000141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WHEN/IF/WHERE</w:t>
      </w: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” slot follows the “</w:t>
      </w:r>
      <w:r w:rsidRPr="000141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</w:t>
      </w: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” slot, the text “</w:t>
      </w:r>
      <w:r w:rsidRPr="000141D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 child’s father and mother were not married to, or civil partners of, each other at the time of his birth</w:t>
      </w: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” from the right must be rephrased to “</w:t>
      </w:r>
      <w:r w:rsidRPr="000141D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they were not married to, or civil partners of, each other at the time of his birth.</w:t>
      </w: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”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, i.e., by replacing </w:t>
      </w: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</w:t>
      </w:r>
      <w:r w:rsidRPr="000141D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 child’s father and mother</w:t>
      </w:r>
      <w:r w:rsidRPr="000141D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”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with the pronoun “</w:t>
      </w:r>
      <w:r w:rsidRPr="000141DF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they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”.</w:t>
      </w:r>
    </w:p>
    <w:p w14:paraId="5232A7F3" w14:textId="77777777" w:rsidR="0082397D" w:rsidRPr="000141DF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</w:pPr>
      <w:r w:rsidRPr="000141DF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n-GB"/>
          <w14:ligatures w14:val="none"/>
        </w:rPr>
        <w:t>IMPORTANT</w:t>
      </w:r>
      <w:r w:rsidRPr="000141DF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 xml:space="preserve">: </w:t>
      </w:r>
      <w:r w:rsidRPr="000141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Once you have filled the slots, please read through the entire text on the left (“It is obligatory for … to … etc.) to double-check that it reads smoothly.</w:t>
      </w:r>
    </w:p>
    <w:p w14:paraId="7C61F5EE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you’re satisfied, click “</w:t>
      </w:r>
      <w:r w:rsidRPr="000141D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Annotation</w:t>
      </w: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”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.</w:t>
      </w:r>
    </w:p>
    <w:p w14:paraId="5524B7CD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 w:rsidRPr="000141DF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anchor distT="0" distB="0" distL="114300" distR="114300" simplePos="0" relativeHeight="251661312" behindDoc="0" locked="0" layoutInCell="1" allowOverlap="1" wp14:anchorId="45F100B8" wp14:editId="545C59B1">
            <wp:simplePos x="0" y="0"/>
            <wp:positionH relativeFrom="margin">
              <wp:align>center</wp:align>
            </wp:positionH>
            <wp:positionV relativeFrom="paragraph">
              <wp:posOffset>526415</wp:posOffset>
            </wp:positionV>
            <wp:extent cx="6690360" cy="2923540"/>
            <wp:effectExtent l="0" t="0" r="0" b="0"/>
            <wp:wrapTopAndBottom/>
            <wp:docPr id="4647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675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You may then view the list of annotations done so far</w:t>
      </w:r>
      <w:r w:rsidRPr="002053D6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by pressing “</w:t>
      </w:r>
      <w:r w:rsidRPr="000141DF">
        <w:rPr>
          <w:rFonts w:ascii="Times New Roman" w:eastAsia="Times New Roman" w:hAnsi="Times New Roman" w:cs="Times New Roman"/>
          <w:b/>
          <w:bCs/>
          <w:kern w:val="0"/>
          <w:lang w:val="en-US" w:eastAsia="en-GB"/>
          <w14:ligatures w14:val="none"/>
        </w:rPr>
        <w:t>Show annotations done so far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”. Click again this button to close the list.</w:t>
      </w:r>
    </w:p>
    <w:p w14:paraId="7CAC158D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0C3B981" w14:textId="77777777" w:rsidR="0082397D" w:rsidRDefault="007719EA" w:rsidP="0082397D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4FA44C6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FB090A9" w14:textId="77777777" w:rsidR="0082397D" w:rsidRPr="000909A8" w:rsidRDefault="0082397D" w:rsidP="0082397D">
      <w:pPr>
        <w:jc w:val="both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53AA748A" w14:textId="77777777" w:rsidR="0082397D" w:rsidRDefault="0082397D" w:rsidP="0082397D">
      <w:pPr>
        <w:jc w:val="both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  <w:t>Zip package</w:t>
      </w:r>
    </w:p>
    <w:p w14:paraId="4D45C778" w14:textId="77777777" w:rsidR="0082397D" w:rsidRPr="000141DF" w:rsidRDefault="0082397D" w:rsidP="0082397D">
      <w:pPr>
        <w:spacing w:before="120"/>
        <w:jc w:val="both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</w:pPr>
      <w:r w:rsidRPr="000141D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Each zip package contains one or more parts or chapters of an act, with multiple sections. When you click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“</w:t>
      </w:r>
      <w:r w:rsidRPr="000141D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Export Annotation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”</w:t>
      </w:r>
      <w:r w:rsidRPr="000141D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or close the tab, a .txt file with the same name as the package will be downloaded. Do not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change</w:t>
      </w:r>
      <w:r w:rsidRPr="000141DF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the file name, please return the .txt file via email as it is.</w:t>
      </w:r>
    </w:p>
    <w:p w14:paraId="090231AC" w14:textId="77777777" w:rsidR="0082397D" w:rsidRPr="002053D6" w:rsidRDefault="0082397D" w:rsidP="0082397D">
      <w:pPr>
        <w:spacing w:before="100" w:beforeAutospacing="1" w:after="100" w:afterAutospacing="1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Best Practices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n-GB"/>
          <w14:ligatures w14:val="none"/>
        </w:rPr>
        <w:t xml:space="preserve"> </w:t>
      </w:r>
    </w:p>
    <w:p w14:paraId="34383641" w14:textId="77777777" w:rsidR="0082397D" w:rsidRPr="002053D6" w:rsidRDefault="0082397D" w:rsidP="0082397D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Fluency Check:</w:t>
      </w:r>
    </w:p>
    <w:p w14:paraId="6B8619E0" w14:textId="77777777" w:rsidR="0082397D" w:rsidRPr="000141DF" w:rsidRDefault="0082397D" w:rsidP="0082397D">
      <w:pPr>
        <w:numPr>
          <w:ilvl w:val="1"/>
          <w:numId w:val="12"/>
        </w:numPr>
        <w:tabs>
          <w:tab w:val="clear" w:pos="1440"/>
          <w:tab w:val="left" w:pos="1260"/>
          <w:tab w:val="num" w:pos="1350"/>
        </w:tabs>
        <w:spacing w:before="100" w:beforeAutospacing="1" w:after="100" w:afterAutospacing="1"/>
        <w:ind w:left="126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The most important part is that you a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lways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double-check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filled template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by reading it 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aloud: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“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is obligatory for [X] to [do Y] when [condition].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”</w:t>
      </w:r>
    </w:p>
    <w:p w14:paraId="129BA468" w14:textId="77777777" w:rsidR="0082397D" w:rsidRPr="000141DF" w:rsidRDefault="0082397D" w:rsidP="0082397D">
      <w:pPr>
        <w:numPr>
          <w:ilvl w:val="1"/>
          <w:numId w:val="12"/>
        </w:numPr>
        <w:tabs>
          <w:tab w:val="clear" w:pos="1440"/>
          <w:tab w:val="left" w:pos="1260"/>
          <w:tab w:val="num" w:pos="1350"/>
        </w:tabs>
        <w:spacing w:before="100" w:beforeAutospacing="1" w:after="100" w:afterAutospacing="1"/>
        <w:ind w:left="126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 sure it sounds natural and grammatically correct.</w:t>
      </w:r>
    </w:p>
    <w:p w14:paraId="77FEF156" w14:textId="77777777" w:rsidR="0082397D" w:rsidRPr="002053D6" w:rsidRDefault="0082397D" w:rsidP="0082397D">
      <w:pPr>
        <w:numPr>
          <w:ilvl w:val="0"/>
          <w:numId w:val="12"/>
        </w:numPr>
        <w:spacing w:before="120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Minimal Rephrasing:</w:t>
      </w:r>
    </w:p>
    <w:p w14:paraId="0A7D5BFE" w14:textId="77777777" w:rsidR="0082397D" w:rsidRPr="002053D6" w:rsidRDefault="0082397D" w:rsidP="0082397D">
      <w:pPr>
        <w:numPr>
          <w:ilvl w:val="1"/>
          <w:numId w:val="12"/>
        </w:numPr>
        <w:tabs>
          <w:tab w:val="clear" w:pos="1440"/>
          <w:tab w:val="num" w:pos="1350"/>
        </w:tabs>
        <w:spacing w:before="100" w:beforeAutospacing="1" w:after="100" w:afterAutospacing="1"/>
        <w:ind w:left="126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C</w:t>
      </w: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hange the original legislative text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minimally, only to ensure the Fluency Check.</w:t>
      </w:r>
    </w:p>
    <w:p w14:paraId="063EDA8C" w14:textId="77777777" w:rsidR="0082397D" w:rsidRPr="002053D6" w:rsidRDefault="0082397D" w:rsidP="0082397D">
      <w:pPr>
        <w:numPr>
          <w:ilvl w:val="0"/>
          <w:numId w:val="12"/>
        </w:numPr>
        <w:spacing w:before="120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Conditions:</w:t>
      </w:r>
    </w:p>
    <w:p w14:paraId="3452D3F9" w14:textId="77777777" w:rsidR="0082397D" w:rsidRPr="00E53BE9" w:rsidRDefault="0082397D" w:rsidP="0082397D">
      <w:pPr>
        <w:numPr>
          <w:ilvl w:val="1"/>
          <w:numId w:val="12"/>
        </w:numPr>
        <w:tabs>
          <w:tab w:val="clear" w:pos="1440"/>
        </w:tabs>
        <w:spacing w:before="100" w:beforeAutospacing="1" w:after="100" w:afterAutospacing="1"/>
        <w:ind w:left="126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there are two conditions, use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both</w:t>
      </w: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condition fields (e.g., WHEN/IF/WHERE, UNLESS, ONLY IF, etc.). If there are more than two conditions (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which is </w:t>
      </w:r>
      <w:r w:rsidRPr="000141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very rare, but not impossible), modify the export list manually.</w:t>
      </w:r>
    </w:p>
    <w:p w14:paraId="689ACA40" w14:textId="77777777" w:rsidR="0082397D" w:rsidRPr="002053D6" w:rsidRDefault="0082397D" w:rsidP="0082397D">
      <w:pPr>
        <w:numPr>
          <w:ilvl w:val="0"/>
          <w:numId w:val="12"/>
        </w:numPr>
        <w:spacing w:before="120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Avoid Overthinking:</w:t>
      </w:r>
    </w:p>
    <w:p w14:paraId="154DEE71" w14:textId="77777777" w:rsidR="0082397D" w:rsidRPr="002053D6" w:rsidRDefault="0082397D" w:rsidP="0082397D">
      <w:pPr>
        <w:numPr>
          <w:ilvl w:val="1"/>
          <w:numId w:val="12"/>
        </w:numPr>
        <w:tabs>
          <w:tab w:val="clear" w:pos="1440"/>
        </w:tabs>
        <w:spacing w:before="100" w:beforeAutospacing="1" w:after="100" w:afterAutospacing="1"/>
        <w:ind w:left="126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Choose the simplest and most natural interpretation whenever multiple options are correct.</w:t>
      </w:r>
    </w:p>
    <w:p w14:paraId="69C11BD2" w14:textId="77777777" w:rsidR="0082397D" w:rsidRPr="002053D6" w:rsidRDefault="007719EA" w:rsidP="0082397D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7F18AE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0553F07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 have questions, always refer back to the full Annotation Guidelines or ask a project supervisor.</w:t>
      </w:r>
    </w:p>
    <w:p w14:paraId="515FAD0F" w14:textId="77777777" w:rsidR="0082397D" w:rsidRPr="002053D6" w:rsidRDefault="0082397D" w:rsidP="0082397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05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Happy Annotating!</w:t>
      </w:r>
    </w:p>
    <w:p w14:paraId="5E7EF728" w14:textId="77777777" w:rsidR="0082397D" w:rsidRPr="002053D6" w:rsidRDefault="007719EA" w:rsidP="0082397D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19A2C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7DCAA26" w14:textId="77777777" w:rsidR="0082397D" w:rsidRDefault="0082397D" w:rsidP="0082397D">
      <w:pPr>
        <w:jc w:val="both"/>
      </w:pPr>
    </w:p>
    <w:p w14:paraId="77784DDE" w14:textId="77777777" w:rsidR="002053D6" w:rsidRPr="0082397D" w:rsidRDefault="002053D6" w:rsidP="0082397D"/>
    <w:sectPr w:rsidR="002053D6" w:rsidRPr="00823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vio Robaldo" w:date="2025-04-28T14:40:00Z" w:initials="LR">
    <w:p w14:paraId="066913D7" w14:textId="77777777" w:rsidR="0082397D" w:rsidRDefault="0082397D" w:rsidP="0082397D">
      <w:pPr>
        <w:pStyle w:val="CommentText"/>
      </w:pPr>
      <w:r>
        <w:rPr>
          <w:rStyle w:val="CommentReference"/>
        </w:rPr>
        <w:annotationRef/>
      </w:r>
      <w:r>
        <w:t>What does this mean?</w:t>
      </w:r>
    </w:p>
  </w:comment>
  <w:comment w:id="1" w:author="Livio Robaldo" w:date="2025-04-28T15:16:00Z" w:initials="LR">
    <w:p w14:paraId="082ADE93" w14:textId="77777777" w:rsidR="0082397D" w:rsidRDefault="0082397D" w:rsidP="0082397D">
      <w:pPr>
        <w:pStyle w:val="CommentText"/>
      </w:pPr>
      <w:r>
        <w:rPr>
          <w:rStyle w:val="CommentReference"/>
        </w:rPr>
        <w:annotationRef/>
      </w:r>
      <w:r>
        <w:t>Put this in a new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6913D7" w15:done="0"/>
  <w15:commentEx w15:paraId="082ADE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54442C2" w16cex:dateUtc="2025-04-28T13:40:00Z"/>
  <w16cex:commentExtensible w16cex:durableId="775A25CC" w16cex:dateUtc="2025-04-28T1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6913D7" w16cid:durableId="154442C2"/>
  <w16cid:commentId w16cid:paraId="082ADE93" w16cid:durableId="775A25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ABC"/>
    <w:multiLevelType w:val="multilevel"/>
    <w:tmpl w:val="F052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B17BF"/>
    <w:multiLevelType w:val="multilevel"/>
    <w:tmpl w:val="49CA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3784A"/>
    <w:multiLevelType w:val="multilevel"/>
    <w:tmpl w:val="FAEE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F5CAE"/>
    <w:multiLevelType w:val="multilevel"/>
    <w:tmpl w:val="9D58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8D697B"/>
    <w:multiLevelType w:val="multilevel"/>
    <w:tmpl w:val="A310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71084"/>
    <w:multiLevelType w:val="multilevel"/>
    <w:tmpl w:val="997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6336B"/>
    <w:multiLevelType w:val="multilevel"/>
    <w:tmpl w:val="8554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D3D68"/>
    <w:multiLevelType w:val="multilevel"/>
    <w:tmpl w:val="E0F6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FF75E4"/>
    <w:multiLevelType w:val="multilevel"/>
    <w:tmpl w:val="ED0A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9102F"/>
    <w:multiLevelType w:val="multilevel"/>
    <w:tmpl w:val="343C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E55968"/>
    <w:multiLevelType w:val="multilevel"/>
    <w:tmpl w:val="50AA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12CA2"/>
    <w:multiLevelType w:val="multilevel"/>
    <w:tmpl w:val="20A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C7373"/>
    <w:multiLevelType w:val="multilevel"/>
    <w:tmpl w:val="8FDE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369623">
    <w:abstractNumId w:val="2"/>
  </w:num>
  <w:num w:numId="2" w16cid:durableId="86313385">
    <w:abstractNumId w:val="6"/>
  </w:num>
  <w:num w:numId="3" w16cid:durableId="1404255263">
    <w:abstractNumId w:val="7"/>
  </w:num>
  <w:num w:numId="4" w16cid:durableId="635331099">
    <w:abstractNumId w:val="4"/>
  </w:num>
  <w:num w:numId="5" w16cid:durableId="1328360140">
    <w:abstractNumId w:val="11"/>
  </w:num>
  <w:num w:numId="6" w16cid:durableId="593366716">
    <w:abstractNumId w:val="0"/>
  </w:num>
  <w:num w:numId="7" w16cid:durableId="946502268">
    <w:abstractNumId w:val="9"/>
  </w:num>
  <w:num w:numId="8" w16cid:durableId="1219704761">
    <w:abstractNumId w:val="1"/>
  </w:num>
  <w:num w:numId="9" w16cid:durableId="1462722599">
    <w:abstractNumId w:val="10"/>
  </w:num>
  <w:num w:numId="10" w16cid:durableId="546572864">
    <w:abstractNumId w:val="12"/>
  </w:num>
  <w:num w:numId="11" w16cid:durableId="1476290655">
    <w:abstractNumId w:val="5"/>
  </w:num>
  <w:num w:numId="12" w16cid:durableId="921448582">
    <w:abstractNumId w:val="8"/>
  </w:num>
  <w:num w:numId="13" w16cid:durableId="111471360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vio Robaldo">
    <w15:presenceInfo w15:providerId="AD" w15:userId="S::livio.robaldo@Swansea.ac.uk::ad6289c4-0dab-4e0b-9f89-64f034ef44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D6"/>
    <w:rsid w:val="000909A8"/>
    <w:rsid w:val="002053D6"/>
    <w:rsid w:val="00754E54"/>
    <w:rsid w:val="007719EA"/>
    <w:rsid w:val="0077683E"/>
    <w:rsid w:val="0082397D"/>
    <w:rsid w:val="00AB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11B6"/>
  <w15:chartTrackingRefBased/>
  <w15:docId w15:val="{D7C89BDF-326E-1A4D-B008-54D96B53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97D"/>
  </w:style>
  <w:style w:type="paragraph" w:styleId="Heading1">
    <w:name w:val="heading 1"/>
    <w:basedOn w:val="Normal"/>
    <w:link w:val="Heading1Char"/>
    <w:uiPriority w:val="9"/>
    <w:qFormat/>
    <w:rsid w:val="002053D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053D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3D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53D6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053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053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53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3D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8239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239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397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2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0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kanwa</dc:creator>
  <cp:keywords/>
  <dc:description/>
  <cp:lastModifiedBy>safial kanwa</cp:lastModifiedBy>
  <cp:revision>4</cp:revision>
  <dcterms:created xsi:type="dcterms:W3CDTF">2025-04-27T07:56:00Z</dcterms:created>
  <dcterms:modified xsi:type="dcterms:W3CDTF">2025-04-28T15:15:00Z</dcterms:modified>
</cp:coreProperties>
</file>