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4E79"/>
          <w:sz w:val="36"/>
          <w:szCs w:val="36"/>
        </w:rPr>
        <w:t xml:space="preserve">Week 2 Assignment</w:t>
      </w:r>
    </w:p>
    <w:p>
      <w:pPr>
        <w:spacing w:after="240" w:before="0"/>
      </w:pPr>
      <w:r>
        <w:rPr>
          <w:rFonts w:ascii="Arial" w:cs="Arial" w:eastAsia="Arial" w:hAnsi="Arial"/>
          <w:color w:val="555555"/>
          <w:sz w:val="22"/>
          <w:szCs w:val="22"/>
        </w:rPr>
        <w:t xml:space="preserve">AI Prompt Engineering for Business Analytics</w:t>
      </w:r>
    </w:p>
    <w:p>
      <w:pPr>
        <w:pBdr>
          <w:bottom w:val="single" w:color="2E75B6" w:sz="6" w:space="4"/>
        </w:pBdr>
        <w:spacing w:after="120" w:before="320"/>
      </w:pPr>
      <w:r>
        <w:rPr>
          <w:rFonts w:ascii="Arial" w:cs="Arial" w:eastAsia="Arial" w:hAnsi="Arial"/>
          <w:b/>
          <w:bCs/>
          <w:color w:val="1F4E79"/>
          <w:sz w:val="28"/>
          <w:szCs w:val="28"/>
        </w:rPr>
        <w:t xml:space="preserve">Part A: RCTTCE Prompt Framework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 – Role</w:t>
            </w:r>
          </w:p>
        </w:tc>
        <w:tc>
          <w:tcPr>
            <w:tcW w:type="dxa" w:w="7660"/>
            <w:tcBorders>
              <w:top w:val="single" w:color="CCCCCC" w:sz="1"/>
              <w:left w:val="single" w:color="CCCCCC" w:sz="1"/>
              <w:bottom w:val="single" w:color="CCCCCC" w:sz="1"/>
              <w:right w:val="single" w:color="CCCCCC" w:sz="1"/>
            </w:tcBorders>
            <w:shd w:fill="F5FAFF" w:val="clear"/>
            <w:tcMar>
              <w:top w:type="dxa" w:w="100"/>
              <w:left w:type="dxa" w:w="140"/>
              <w:bottom w:type="dxa" w:w="100"/>
              <w:right w:type="dxa" w:w="120"/>
            </w:tcMar>
          </w:tcPr>
          <w:p>
            <w:pPr>
              <w:spacing w:after="0" w:before="0"/>
            </w:pPr>
            <w:r>
              <w:rPr>
                <w:rFonts w:ascii="Arial" w:cs="Arial" w:eastAsia="Arial" w:hAnsi="Arial"/>
                <w:sz w:val="19"/>
                <w:szCs w:val="19"/>
              </w:rPr>
              <w:t xml:space="preserve">You are a Senior Business Analytics Consultant with expertise in retail performance diagnostics, customer behaviour analysis, and data-driven strategy. You communicate complex findings clearly to C-suite executives.</w:t>
            </w:r>
          </w:p>
        </w:tc>
      </w:tr>
      <w:tr>
        <w:tc>
          <w:tcPr>
            <w:tcW w:type="dxa" w:w="17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 – Context</w:t>
            </w:r>
          </w:p>
        </w:tc>
        <w:tc>
          <w:tcPr>
            <w:tcW w:type="dxa" w:w="7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0" w:before="0"/>
            </w:pPr>
            <w:r>
              <w:rPr>
                <w:rFonts w:ascii="Arial" w:cs="Arial" w:eastAsia="Arial" w:hAnsi="Arial"/>
                <w:sz w:val="19"/>
                <w:szCs w:val="19"/>
              </w:rPr>
              <w:t xml:space="preserve">A mid-sized retail company operates 30 stores and has experienced consistent performance decline over 18 months. The Analytics Team has a dataset of ~50,000 records covering: store performance metrics, product sales data, customer transactions, and loyalty programme activity. The CEO requires a clear picture of what is driving the decline before committing resources to a turnaround strategy.</w:t>
            </w:r>
          </w:p>
        </w:tc>
      </w:tr>
      <w:tr>
        <w:tc>
          <w:tcPr>
            <w:tcW w:type="dxa" w:w="1700"/>
            <w:tcBorders>
              <w:top w:val="single" w:color="CCCCCC" w:sz="1"/>
              <w:left w:val="single" w:color="CCCCCC" w:sz="1"/>
              <w:bottom w:val="single" w:color="CCCCCC" w:sz="1"/>
              <w:right w:val="single" w:color="CCCCCC" w:sz="1"/>
            </w:tcBorders>
            <w:shd w:fill="2472C8"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 – Task</w:t>
            </w:r>
          </w:p>
        </w:tc>
        <w:tc>
          <w:tcPr>
            <w:tcW w:type="dxa" w:w="7660"/>
            <w:tcBorders>
              <w:top w:val="single" w:color="CCCCCC" w:sz="1"/>
              <w:left w:val="single" w:color="CCCCCC" w:sz="1"/>
              <w:bottom w:val="single" w:color="CCCCCC" w:sz="1"/>
              <w:right w:val="single" w:color="CCCCCC" w:sz="1"/>
            </w:tcBorders>
            <w:shd w:fill="F5FAFF" w:val="clear"/>
            <w:tcMar>
              <w:top w:type="dxa" w:w="100"/>
              <w:left w:type="dxa" w:w="140"/>
              <w:bottom w:type="dxa" w:w="100"/>
              <w:right w:type="dxa" w:w="120"/>
            </w:tcMar>
          </w:tcPr>
          <w:p>
            <w:pPr>
              <w:spacing w:after="0" w:before="0"/>
            </w:pPr>
            <w:r>
              <w:rPr>
                <w:rFonts w:ascii="Arial" w:cs="Arial" w:eastAsia="Arial" w:hAnsi="Arial"/>
                <w:sz w:val="19"/>
                <w:szCs w:val="19"/>
              </w:rPr>
              <w:t xml:space="preserve">Produce a one-page Stakeholder Brief for the CEO that: (1) summarises the business situation, (2) identifies three specific, measurable business questions the analysis will answer, (3) explains the strategic decisions each question will inform, and (4) describes the available data and its relevance.</w:t>
            </w:r>
          </w:p>
        </w:tc>
      </w:tr>
      <w:tr>
        <w:tc>
          <w:tcPr>
            <w:tcW w:type="dxa" w:w="17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F – Format</w:t>
            </w:r>
          </w:p>
        </w:tc>
        <w:tc>
          <w:tcPr>
            <w:tcW w:type="dxa" w:w="7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0" w:before="0"/>
            </w:pPr>
            <w:r>
              <w:rPr>
                <w:rFonts w:ascii="Arial" w:cs="Arial" w:eastAsia="Arial" w:hAnsi="Arial"/>
                <w:sz w:val="19"/>
                <w:szCs w:val="19"/>
              </w:rPr>
              <w:t xml:space="preserve">Structure the brief with clearly labelled sections: Situation Summary, Three Key Business Questions (numbered), Decisions These Questions Will Inform (mapped to each question), and Available Data. Use concise professional language suitable for a CEO. Maximum 250 words. No bullet-point overload — use short paragraphs or a clean two-column layout where appropriate.</w:t>
            </w:r>
          </w:p>
        </w:tc>
      </w:tr>
      <w:tr>
        <w:tc>
          <w:tcPr>
            <w:tcW w:type="dxa" w:w="1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 – Constraints</w:t>
            </w:r>
          </w:p>
        </w:tc>
        <w:tc>
          <w:tcPr>
            <w:tcW w:type="dxa" w:w="7660"/>
            <w:tcBorders>
              <w:top w:val="single" w:color="CCCCCC" w:sz="1"/>
              <w:left w:val="single" w:color="CCCCCC" w:sz="1"/>
              <w:bottom w:val="single" w:color="CCCCCC" w:sz="1"/>
              <w:right w:val="single" w:color="CCCCCC" w:sz="1"/>
            </w:tcBorders>
            <w:shd w:fill="F5FAFF" w:val="clear"/>
            <w:tcMar>
              <w:top w:type="dxa" w:w="100"/>
              <w:left w:type="dxa" w:w="140"/>
              <w:bottom w:type="dxa" w:w="100"/>
              <w:right w:type="dxa" w:w="120"/>
            </w:tcMar>
          </w:tcPr>
          <w:p>
            <w:pPr>
              <w:spacing w:after="0" w:before="0"/>
            </w:pPr>
            <w:r>
              <w:rPr>
                <w:rFonts w:ascii="Arial" w:cs="Arial" w:eastAsia="Arial" w:hAnsi="Arial"/>
                <w:sz w:val="19"/>
                <w:szCs w:val="19"/>
              </w:rPr>
              <w:t xml:space="preserve">Do not invent specific figures or fabricate data findings — the brief should frame questions and context only. Avoid technical jargon. Keep the tone executive-level: authoritative, concise, and forward-looking. Total word count must not exceed 250 words for the brief itself.</w:t>
            </w:r>
          </w:p>
        </w:tc>
      </w:tr>
      <w:tr>
        <w:tc>
          <w:tcPr>
            <w:tcW w:type="dxa" w:w="1700"/>
            <w:tcBorders>
              <w:top w:val="single" w:color="CCCCCC" w:sz="1"/>
              <w:left w:val="single" w:color="CCCCCC" w:sz="1"/>
              <w:bottom w:val="single" w:color="CCCCCC" w:sz="1"/>
              <w:right w:val="single" w:color="CCCCCC" w:sz="1"/>
            </w:tcBorders>
            <w:shd w:fill="2472C8"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 – Example</w:t>
            </w:r>
          </w:p>
        </w:tc>
        <w:tc>
          <w:tcPr>
            <w:tcW w:type="dxa" w:w="7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0" w:before="0"/>
            </w:pPr>
            <w:r>
              <w:rPr>
                <w:rFonts w:ascii="Arial" w:cs="Arial" w:eastAsia="Arial" w:hAnsi="Arial"/>
                <w:sz w:val="19"/>
                <w:szCs w:val="19"/>
              </w:rPr>
              <w:t xml:space="preserve">Example Business Question format — "Which product categories are driving the steepest revenue decline across the bottom-quartile stores, and how does this vary by region?" This question is specific, data-anchored, and clearly tied to a business decision (rationalise or reposition the product range).</w:t>
            </w:r>
          </w:p>
        </w:tc>
      </w:tr>
    </w:tbl>
    <w:p>
      <w:pPr>
        <w:spacing w:after="60" w:before="60"/>
      </w:pPr>
      <w:r>
        <w:t xml:space="preserve"/>
      </w:r>
    </w:p>
    <w:p>
      <w:pPr>
        <w:pBdr>
          <w:bottom w:val="single" w:color="2E75B6" w:sz="6" w:space="4"/>
        </w:pBdr>
        <w:spacing w:after="120" w:before="320"/>
      </w:pPr>
      <w:r>
        <w:rPr>
          <w:rFonts w:ascii="Arial" w:cs="Arial" w:eastAsia="Arial" w:hAnsi="Arial"/>
          <w:b/>
          <w:bCs/>
          <w:color w:val="1F4E79"/>
          <w:sz w:val="28"/>
          <w:szCs w:val="28"/>
        </w:rPr>
        <w:t xml:space="preserve">Part B: AI-Generated Stakeholder Brief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jc w:val="center"/>
            </w:pPr>
            <w:r>
              <w:rPr>
                <w:rFonts w:ascii="Arial" w:cs="Arial" w:eastAsia="Arial" w:hAnsi="Arial"/>
                <w:b/>
                <w:bCs/>
                <w:caps/>
                <w:color w:val="FFFFFF"/>
                <w:sz w:val="28"/>
                <w:szCs w:val="28"/>
              </w:rPr>
              <w:t xml:space="preserve">STAKEHOLDER BRIEF</w:t>
            </w:r>
          </w:p>
          <w:p>
            <w:pPr>
              <w:jc w:val="center"/>
            </w:pPr>
            <w:r>
              <w:rPr>
                <w:rFonts w:ascii="Arial" w:cs="Arial" w:eastAsia="Arial" w:hAnsi="Arial"/>
                <w:color w:val="BDD7EE"/>
                <w:sz w:val="18"/>
                <w:szCs w:val="18"/>
              </w:rPr>
              <w:t xml:space="preserve">Retail Performance Investigation | Prepared for the CEO</w:t>
            </w:r>
          </w:p>
        </w:tc>
      </w:tr>
    </w:tbl>
    <w:p>
      <w:pPr>
        <w:spacing w:after="60" w:before="60"/>
      </w:pPr>
      <w:r>
        <w:t xml:space="preserve"/>
      </w:r>
    </w:p>
    <w:p>
      <w:pPr>
        <w:pBdr>
          <w:bottom w:val="single" w:color="D6E4F0" w:sz="4" w:space="4"/>
        </w:pBdr>
        <w:spacing w:after="80" w:before="120"/>
      </w:pPr>
      <w:r>
        <w:rPr>
          <w:rFonts w:ascii="Arial" w:cs="Arial" w:eastAsia="Arial" w:hAnsi="Arial"/>
          <w:b/>
          <w:bCs/>
          <w:caps/>
          <w:color w:val="1F4E79"/>
          <w:sz w:val="20"/>
          <w:szCs w:val="20"/>
        </w:rPr>
        <w:t xml:space="preserve">SITUATION SUMMARY</w:t>
      </w:r>
    </w:p>
    <w:p>
      <w:pPr>
        <w:spacing w:after="60" w:before="60"/>
      </w:pPr>
      <w:r>
        <w:rPr>
          <w:rFonts w:ascii="Arial" w:cs="Arial" w:eastAsia="Arial" w:hAnsi="Arial"/>
          <w:sz w:val="20"/>
          <w:szCs w:val="20"/>
        </w:rPr>
        <w:t xml:space="preserve">Over the past 18 months, the company has experienced a sustained decline in retail performance across its 30-store network. Preliminary indicators suggest a combination of shifting customer purchasing behaviour, inconsistent store execution, and potential product-range misalignment. A structured analytical investigation — drawing on 50,000 transaction, loyalty, and performance records — is required to move from symptom recognition to root-cause understanding, enabling the leadership team to make targeted, evidence-based decisions.</w:t>
      </w:r>
    </w:p>
    <w:p>
      <w:pPr>
        <w:spacing w:after="60" w:before="60"/>
      </w:pPr>
      <w:r>
        <w:t xml:space="preserve"/>
      </w:r>
    </w:p>
    <w:p>
      <w:pPr>
        <w:pBdr>
          <w:bottom w:val="single" w:color="D6E4F0" w:sz="4" w:space="4"/>
        </w:pBdr>
        <w:spacing w:after="80" w:before="120"/>
      </w:pPr>
      <w:r>
        <w:rPr>
          <w:rFonts w:ascii="Arial" w:cs="Arial" w:eastAsia="Arial" w:hAnsi="Arial"/>
          <w:b/>
          <w:bCs/>
          <w:caps/>
          <w:color w:val="1F4E79"/>
          <w:sz w:val="20"/>
          <w:szCs w:val="20"/>
        </w:rPr>
        <w:t xml:space="preserve">THREE KEY BUSINESS QUESTIONS &amp; DECISIONS THEY WILL INFORM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jc w:val="center"/>
            </w:pPr>
            <w:r>
              <w:rPr>
                <w:rFonts w:ascii="Arial" w:cs="Arial" w:eastAsia="Arial" w:hAnsi="Arial"/>
                <w:b/>
                <w:bCs/>
                <w:color w:val="FFFFFF"/>
                <w:sz w:val="19"/>
                <w:szCs w:val="19"/>
              </w:rPr>
              <w:t xml:space="preserve">#</w:t>
            </w:r>
          </w:p>
        </w:tc>
        <w:tc>
          <w:tcPr>
            <w:tcW w:type="dxa" w:w="4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tcPr>
          <w:p>
            <w:r>
              <w:rPr>
                <w:rFonts w:ascii="Arial" w:cs="Arial" w:eastAsia="Arial" w:hAnsi="Arial"/>
                <w:b/>
                <w:bCs/>
                <w:color w:val="FFFFFF"/>
                <w:sz w:val="19"/>
                <w:szCs w:val="19"/>
              </w:rPr>
              <w:t xml:space="preserve">Business Question</w:t>
            </w:r>
          </w:p>
        </w:tc>
        <w:tc>
          <w:tcPr>
            <w:tcW w:type="dxa" w:w="4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tcPr>
          <w:p>
            <w:r>
              <w:rPr>
                <w:rFonts w:ascii="Arial" w:cs="Arial" w:eastAsia="Arial" w:hAnsi="Arial"/>
                <w:b/>
                <w:bCs/>
                <w:color w:val="FFFFFF"/>
                <w:sz w:val="19"/>
                <w:szCs w:val="19"/>
              </w:rPr>
              <w:t xml:space="preserve">Decision It Will Inform</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center"/>
            </w:pPr>
            <w:r>
              <w:rPr>
                <w:rFonts w:ascii="Arial" w:cs="Arial" w:eastAsia="Arial" w:hAnsi="Arial"/>
                <w:b/>
                <w:bCs/>
                <w:color w:val="1F4E79"/>
                <w:sz w:val="22"/>
                <w:szCs w:val="22"/>
              </w:rPr>
              <w:t xml:space="preserve">1</w:t>
            </w:r>
          </w:p>
        </w:tc>
        <w:tc>
          <w:tcPr>
            <w:tcW w:type="dxa" w:w="43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00"/>
            </w:tcMar>
          </w:tcPr>
          <w:p>
            <w:pPr>
              <w:spacing w:after="0" w:before="0"/>
            </w:pPr>
            <w:r>
              <w:rPr>
                <w:rFonts w:ascii="Arial" w:cs="Arial" w:eastAsia="Arial" w:hAnsi="Arial"/>
                <w:sz w:val="18"/>
                <w:szCs w:val="18"/>
              </w:rPr>
              <w:t xml:space="preserve">Which product categories are driving the steepest revenue decline across the bottom-quartile stores, and how does this pattern vary by region?</w:t>
            </w:r>
          </w:p>
        </w:tc>
        <w:tc>
          <w:tcPr>
            <w:tcW w:type="dxa" w:w="4380"/>
            <w:tcBorders>
              <w:top w:val="single" w:color="CCCCCC" w:sz="1"/>
              <w:left w:val="single" w:color="CCCCCC" w:sz="1"/>
              <w:bottom w:val="single" w:color="CCCCCC" w:sz="1"/>
              <w:right w:val="single" w:color="CCCCCC" w:sz="1"/>
            </w:tcBorders>
            <w:shd w:fill="F0F7EC" w:val="clear"/>
            <w:tcMar>
              <w:top w:type="dxa" w:w="80"/>
              <w:left w:type="dxa" w:w="120"/>
              <w:bottom w:type="dxa" w:w="80"/>
              <w:right w:type="dxa" w:w="100"/>
            </w:tcMar>
          </w:tcPr>
          <w:p>
            <w:pPr>
              <w:spacing w:after="0" w:before="0"/>
            </w:pPr>
            <w:r>
              <w:rPr>
                <w:rFonts w:ascii="Arial" w:cs="Arial" w:eastAsia="Arial" w:hAnsi="Arial"/>
                <w:sz w:val="18"/>
                <w:szCs w:val="18"/>
              </w:rPr>
              <w:t xml:space="preserve">Whether to rationalise, reposition, or discontinue underperforming product lines at regional level, avoiding a one-size-fits-all range decision.</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center"/>
            </w:pPr>
            <w:r>
              <w:rPr>
                <w:rFonts w:ascii="Arial" w:cs="Arial" w:eastAsia="Arial" w:hAnsi="Arial"/>
                <w:b/>
                <w:bCs/>
                <w:color w:val="1F4E79"/>
                <w:sz w:val="22"/>
                <w:szCs w:val="22"/>
              </w:rPr>
              <w:t xml:space="preserve">2</w:t>
            </w:r>
          </w:p>
        </w:tc>
        <w:tc>
          <w:tcPr>
            <w:tcW w:type="dxa" w:w="43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00"/>
            </w:tcMar>
          </w:tcPr>
          <w:p>
            <w:pPr>
              <w:spacing w:after="0" w:before="0"/>
            </w:pPr>
            <w:r>
              <w:rPr>
                <w:rFonts w:ascii="Arial" w:cs="Arial" w:eastAsia="Arial" w:hAnsi="Arial"/>
                <w:sz w:val="18"/>
                <w:szCs w:val="18"/>
              </w:rPr>
              <w:t xml:space="preserve">Has customer transaction frequency and average spend declined uniformly, or are specific customer segments — particularly loyalty programme members — disproportionately affected?</w:t>
            </w:r>
          </w:p>
        </w:tc>
        <w:tc>
          <w:tcPr>
            <w:tcW w:type="dxa" w:w="4380"/>
            <w:tcBorders>
              <w:top w:val="single" w:color="CCCCCC" w:sz="1"/>
              <w:left w:val="single" w:color="CCCCCC" w:sz="1"/>
              <w:bottom w:val="single" w:color="CCCCCC" w:sz="1"/>
              <w:right w:val="single" w:color="CCCCCC" w:sz="1"/>
            </w:tcBorders>
            <w:shd w:fill="F0F7EC" w:val="clear"/>
            <w:tcMar>
              <w:top w:type="dxa" w:w="80"/>
              <w:left w:type="dxa" w:w="120"/>
              <w:bottom w:type="dxa" w:w="80"/>
              <w:right w:type="dxa" w:w="100"/>
            </w:tcMar>
          </w:tcPr>
          <w:p>
            <w:pPr>
              <w:spacing w:after="0" w:before="0"/>
            </w:pPr>
            <w:r>
              <w:rPr>
                <w:rFonts w:ascii="Arial" w:cs="Arial" w:eastAsia="Arial" w:hAnsi="Arial"/>
                <w:sz w:val="18"/>
                <w:szCs w:val="18"/>
              </w:rPr>
              <w:t xml:space="preserve">Whether to redesign the loyalty programme, introduce targeted retention offers, or investigate external competitive factors eroding high-value customer frequency.</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00"/>
            </w:tcMar>
          </w:tcPr>
          <w:p>
            <w:pPr>
              <w:jc w:val="center"/>
            </w:pPr>
            <w:r>
              <w:rPr>
                <w:rFonts w:ascii="Arial" w:cs="Arial" w:eastAsia="Arial" w:hAnsi="Arial"/>
                <w:b/>
                <w:bCs/>
                <w:color w:val="1F4E79"/>
                <w:sz w:val="22"/>
                <w:szCs w:val="22"/>
              </w:rPr>
              <w:t xml:space="preserve">3</w:t>
            </w:r>
          </w:p>
        </w:tc>
        <w:tc>
          <w:tcPr>
            <w:tcW w:type="dxa" w:w="43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00"/>
            </w:tcMar>
          </w:tcPr>
          <w:p>
            <w:pPr>
              <w:spacing w:after="0" w:before="0"/>
            </w:pPr>
            <w:r>
              <w:rPr>
                <w:rFonts w:ascii="Arial" w:cs="Arial" w:eastAsia="Arial" w:hAnsi="Arial"/>
                <w:sz w:val="18"/>
                <w:szCs w:val="18"/>
              </w:rPr>
              <w:t xml:space="preserve">Are there identifiable store-level operational or demographic characteristics that differentiate high-performing stores from low-performing ones over the 18-month period?</w:t>
            </w:r>
          </w:p>
        </w:tc>
        <w:tc>
          <w:tcPr>
            <w:tcW w:type="dxa" w:w="4380"/>
            <w:tcBorders>
              <w:top w:val="single" w:color="CCCCCC" w:sz="1"/>
              <w:left w:val="single" w:color="CCCCCC" w:sz="1"/>
              <w:bottom w:val="single" w:color="CCCCCC" w:sz="1"/>
              <w:right w:val="single" w:color="CCCCCC" w:sz="1"/>
            </w:tcBorders>
            <w:shd w:fill="F0F7EC" w:val="clear"/>
            <w:tcMar>
              <w:top w:type="dxa" w:w="80"/>
              <w:left w:type="dxa" w:w="120"/>
              <w:bottom w:type="dxa" w:w="80"/>
              <w:right w:type="dxa" w:w="100"/>
            </w:tcMar>
          </w:tcPr>
          <w:p>
            <w:pPr>
              <w:spacing w:after="0" w:before="0"/>
            </w:pPr>
            <w:r>
              <w:rPr>
                <w:rFonts w:ascii="Arial" w:cs="Arial" w:eastAsia="Arial" w:hAnsi="Arial"/>
                <w:sz w:val="18"/>
                <w:szCs w:val="18"/>
              </w:rPr>
              <w:t xml:space="preserve">How to prioritise store investment, operational improvement programmes, or potential closures based on recovery potential rather than current revenue rank alone.</w:t>
            </w:r>
          </w:p>
        </w:tc>
      </w:tr>
    </w:tbl>
    <w:p>
      <w:pPr>
        <w:spacing w:after="60" w:before="60"/>
      </w:pPr>
      <w:r>
        <w:t xml:space="preserve"/>
      </w:r>
    </w:p>
    <w:p>
      <w:pPr>
        <w:pBdr>
          <w:bottom w:val="single" w:color="D6E4F0" w:sz="4" w:space="4"/>
        </w:pBdr>
        <w:spacing w:after="80" w:before="120"/>
      </w:pPr>
      <w:r>
        <w:rPr>
          <w:rFonts w:ascii="Arial" w:cs="Arial" w:eastAsia="Arial" w:hAnsi="Arial"/>
          <w:b/>
          <w:bCs/>
          <w:caps/>
          <w:color w:val="1F4E79"/>
          <w:sz w:val="20"/>
          <w:szCs w:val="20"/>
        </w:rPr>
        <w:t xml:space="preserve">DESCRIPTION OF AVAILABLE DATA</w:t>
      </w:r>
    </w:p>
    <w:p>
      <w:pPr>
        <w:spacing w:after="60" w:before="60"/>
      </w:pPr>
      <w:r>
        <w:rPr>
          <w:rFonts w:ascii="Arial" w:cs="Arial" w:eastAsia="Arial" w:hAnsi="Arial"/>
          <w:sz w:val="20"/>
          <w:szCs w:val="20"/>
        </w:rPr>
        <w:t xml:space="preserve">The dataset comprises approximately 50,000 records across four domains. Store performance data captures revenue, footfall, and conversion metrics by store over time. Product sales data enables category-level trend analysis. Customer transaction records support spend and frequency profiling at the individual level. Loyalty programme data allows segmentation of the active customer base and measurement of engagement trends. Together, these sources provide sufficient breadth for cross-domain analysis linking operational patterns to customer and commercial outcomes.</w:t>
      </w:r>
    </w:p>
    <w:p>
      <w:pPr>
        <w:spacing w:after="60" w:before="60"/>
      </w:pPr>
      <w:r>
        <w:t xml:space="preserve"/>
      </w:r>
    </w:p>
    <w:p>
      <w:pPr>
        <w:pBdr>
          <w:bottom w:val="single" w:color="2E75B6" w:sz="6" w:space="4"/>
        </w:pBdr>
        <w:spacing w:after="120" w:before="320"/>
      </w:pPr>
      <w:r>
        <w:rPr>
          <w:rFonts w:ascii="Arial" w:cs="Arial" w:eastAsia="Arial" w:hAnsi="Arial"/>
          <w:b/>
          <w:bCs/>
          <w:color w:val="1F4E79"/>
          <w:sz w:val="28"/>
          <w:szCs w:val="28"/>
        </w:rPr>
        <w:t xml:space="preserve">Reflection</w:t>
      </w:r>
    </w:p>
    <w:p>
      <w:pPr>
        <w:spacing w:after="60" w:before="60"/>
      </w:pPr>
      <w:r>
        <w:rPr>
          <w:rFonts w:ascii="Arial" w:cs="Arial" w:eastAsia="Arial" w:hAnsi="Arial"/>
          <w:sz w:val="20"/>
          <w:szCs w:val="20"/>
        </w:rPr>
        <w:t xml:space="preserve">I structured the prompt using the RCTTCE framework to ensure the AI had sufficient context to generate a response appropriate for a C-suite audience — defining the Role first anchored the tone and expertise level, while the Context section prevented the model from making generic observations disconnected from the actual business scenario. The Format and Constraints elements were particularly important: without an explicit word limit and instruction to avoid jargon, AI-generated briefs tend toward verbose, technical outputs unsuitable for executive communication. I included an Example to demonstrate the expected specificity of business questions, as this is often where AI outputs remain too broad to drive real decisions.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AAAAAA"/>
        <w:sz w:val="16"/>
        <w:szCs w:val="16"/>
      </w:rPr>
      <w:t xml:space="preserve">Confidential – For Assessment Purposes Only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left"/>
    </w:pPr>
    <w:r>
      <w:rPr>
        <w:rFonts w:ascii="Arial" w:cs="Arial" w:eastAsia="Arial" w:hAnsi="Arial"/>
        <w:color w:val="888888"/>
        <w:sz w:val="16"/>
        <w:szCs w:val="16"/>
      </w:rPr>
      <w:t xml:space="preserve">Week 2 Assignment  |  AI Prompt Engineering for Business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2026-06-06T20:01:33.271Z</dcterms:created>
  <dcterms:modified xsi:type="dcterms:W3CDTF">2026-06-06T20:01:33.271Z</dcterms:modified>
</cp:coreProperties>
</file>

<file path=docProps/custom.xml><?xml version="1.0" encoding="utf-8"?>
<Properties xmlns="http://schemas.openxmlformats.org/officeDocument/2006/custom-properties" xmlns:vt="http://schemas.openxmlformats.org/officeDocument/2006/docPropsVTypes"/>
</file>