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Sales Forecasting &amp; Demand Insights</w:t>
      </w:r>
    </w:p>
    <w:p>
      <w:pPr>
        <w:spacing w:after="40"/>
      </w:pPr>
      <w:r>
        <w:rPr>
          <w:color w:val="555555"/>
          <w:sz w:val="24"/>
          <w:szCs w:val="24"/>
        </w:rPr>
        <w:t xml:space="preserve">Executive Report — Superstore Sales Analysis</w:t>
      </w:r>
    </w:p>
    <w:p>
      <w:pPr>
        <w:spacing w:after="240"/>
      </w:pPr>
      <w:r>
        <w:rPr>
          <w:i/>
          <w:iCs/>
          <w:color w:val="777777"/>
          <w:sz w:val="20"/>
          <w:szCs w:val="20"/>
        </w:rPr>
        <w:t xml:space="preserve">Prepared for: Head of Supply Chain &amp; CFO   |   Prepared by: Safiya Naguri</w:t>
      </w:r>
    </w:p>
    <w:p>
      <w:pPr>
        <w:pStyle w:val="Heading1"/>
        <w:spacing w:after="100" w:before="200"/>
      </w:pPr>
      <w:r>
        <w:t xml:space="preserve">Executive Summary</w:t>
      </w:r>
    </w:p>
    <w:p>
      <w:pPr>
        <w:spacing w:after="120"/>
      </w:pPr>
      <w:r>
        <w:t xml:space="preserve">We analyzed four years of Superstore sales data to answer three questions: what will we sell next quarter, where are the unusual sales patterns that need a closer look, and which products need a different stocking strategy than others. The business is growing steadily, with a strong and repeatable holiday-season spike every November and December. Our best-performing forecasting model projects total sales for the next three months, with a usable range of outcomes rather than a single guess. We also flagged a small number of unusual sales weeks worth investigating, and grouped products into four demand patterns so stocking decisions can be tailored instead of one-size-fits-all.</w:t>
      </w:r>
    </w:p>
    <w:p>
      <w:pPr>
        <w:pStyle w:val="Heading1"/>
        <w:spacing w:after="100" w:before="200"/>
      </w:pPr>
      <w:r>
        <w:t xml:space="preserve">Key Findings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Technology is the single largest revenue category (~$827K over 4 years), but Furniture (~$729K) and Office Supplies (~$705K) are close behind — the business isn't reliant on one category.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East region has grown every single year for 4 years straight, making it the most dependable region for planning — West sells more in absolute terms but had one down year.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Shipping takes about 4 days on average and this is consistent nationwide, so there is no region that needs a different lead-time buffer.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Sales spike predictably every November and December (holiday demand) and dip every January and February — this pattern has repeated in all 4 years and is strong enough to plan inventory around.</w:t>
      </w:r>
    </w:p>
    <w:p>
      <w:pPr>
        <w:pStyle w:val="Heading1"/>
        <w:spacing w:after="100" w:before="200"/>
      </w:pPr>
      <w:r>
        <w:t xml:space="preserve">3-Month Sales Forecast</w:t>
      </w:r>
    </w:p>
    <w:p>
      <w:pPr>
        <w:spacing w:after="120"/>
      </w:pPr>
      <w:r>
        <w:t xml:space="preserve">Using our SARIMA statistical model (chosen for its ability to produce a realistic best/worst-case range, not just a single number), the forecast for the three months immediately following the dataset (January through March 2019)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621"/>
        <w:gridCol w:w="4118"/>
      </w:tblGrid>
      <w:tr>
        <w:tc>
          <w:tcPr>
            <w:tcW w:type="dxa" w:w="2621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Month</w:t>
            </w:r>
          </w:p>
        </w:tc>
        <w:tc>
          <w:tcPr>
            <w:tcW w:type="dxa" w:w="2621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Expected Sales</w:t>
            </w:r>
          </w:p>
        </w:tc>
        <w:tc>
          <w:tcPr>
            <w:tcW w:type="dxa" w:w="4118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Likely Range (low to high)</w:t>
            </w:r>
          </w:p>
        </w:tc>
      </w:tr>
      <w:tr>
        <w:tc>
          <w:tcPr>
            <w:tcW w:type="dxa" w:w="2621"/>
          </w:tcPr>
          <w:p>
            <w:r>
              <w:t xml:space="preserve">January 2019</w:t>
            </w:r>
          </w:p>
        </w:tc>
        <w:tc>
          <w:tcPr>
            <w:tcW w:type="dxa" w:w="2621"/>
          </w:tcPr>
          <w:p>
            <w:r>
              <w:t xml:space="preserve">$45,900</w:t>
            </w:r>
          </w:p>
        </w:tc>
        <w:tc>
          <w:tcPr>
            <w:tcW w:type="dxa" w:w="4118"/>
          </w:tcPr>
          <w:p>
            <w:r>
              <w:t xml:space="preserve">$18,900 – $73,000</w:t>
            </w:r>
          </w:p>
        </w:tc>
      </w:tr>
      <w:tr>
        <w:tc>
          <w:tcPr>
            <w:tcW w:type="dxa" w:w="2621"/>
          </w:tcPr>
          <w:p>
            <w:r>
              <w:t xml:space="preserve">February 2019</w:t>
            </w:r>
          </w:p>
        </w:tc>
        <w:tc>
          <w:tcPr>
            <w:tcW w:type="dxa" w:w="2621"/>
          </w:tcPr>
          <w:p>
            <w:r>
              <w:t xml:space="preserve">$37,100</w:t>
            </w:r>
          </w:p>
        </w:tc>
        <w:tc>
          <w:tcPr>
            <w:tcW w:type="dxa" w:w="4118"/>
          </w:tcPr>
          <w:p>
            <w:r>
              <w:t xml:space="preserve">$10,000 – $64,200</w:t>
            </w:r>
          </w:p>
        </w:tc>
      </w:tr>
      <w:tr>
        <w:tc>
          <w:tcPr>
            <w:tcW w:type="dxa" w:w="2621"/>
          </w:tcPr>
          <w:p>
            <w:r>
              <w:t xml:space="preserve">March 2019</w:t>
            </w:r>
          </w:p>
        </w:tc>
        <w:tc>
          <w:tcPr>
            <w:tcW w:type="dxa" w:w="2621"/>
          </w:tcPr>
          <w:p>
            <w:r>
              <w:t xml:space="preserve">$69,000</w:t>
            </w:r>
          </w:p>
        </w:tc>
        <w:tc>
          <w:tcPr>
            <w:tcW w:type="dxa" w:w="4118"/>
          </w:tcPr>
          <w:p>
            <w:r>
              <w:t xml:space="preserve">$42,000 – $96,100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In plain terms: January and February are expected to be quiet months, consistent with every prior year, before picking back up in March. The wide ranges reflect genuine month-to-month unpredictability in this business — treat these as planning bands, not exact commitments. We compared three different forecasting approaches (a statistical model, an industry-standard forecasting tool, and a machine-learning model); a machine-learning approach (XGBoost) scored best on historical accuracy testing and is recommended as the primary production forecast, with the statistical model kept as a cross-check because its ranges are easier to explain to non-technical stakeholders.</w:t>
      </w:r>
    </w:p>
    <w:p>
      <w:pPr>
        <w:pStyle w:val="Heading1"/>
        <w:spacing w:after="100" w:before="200"/>
      </w:pPr>
      <w:r>
        <w:t xml:space="preserve">Top Anomalies Detected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 of March 22, 2015 — an unusually large spike (~$37,700), flagged by both detection methods we used. Likely a single large bulk or corporate order rather than typical demand.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Weeks of Nov 4, Nov 18, and Dec 2, 2018 — a cluster of high-sales weeks. These line up with the expected holiday season and are most likely legitimate seasonal demand, not a data problem.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Several very quiet weeks in January/February across multiple years — expected seasonal lows rather than true anomalies, since they recur every year at the same time.</w:t>
      </w:r>
    </w:p>
    <w:p>
      <w:pPr>
        <w:pStyle w:val="Heading1"/>
        <w:spacing w:after="100" w:before="200"/>
      </w:pPr>
      <w:r>
        <w:t xml:space="preserve">Product Demand Segmentation</w:t>
      </w:r>
    </w:p>
    <w:p>
      <w:pPr>
        <w:spacing w:after="120"/>
      </w:pPr>
      <w:r>
        <w:t xml:space="preserve">We grouped products into four demand patterns based on sales volume, growth trend, and volatility: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2808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Example Products</w:t>
            </w:r>
          </w:p>
        </w:tc>
        <w:tc>
          <w:tcPr>
            <w:tcW w:type="dxa" w:w="3744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Recommended Stocking Strategy</w:t>
            </w:r>
          </w:p>
        </w:tc>
      </w:tr>
      <w:tr>
        <w:tc>
          <w:tcPr>
            <w:tcW w:type="dxa" w:w="2808"/>
          </w:tcPr>
          <w:p>
            <w:r>
              <w:t xml:space="preserve">High Volume, Stable Demand</w:t>
            </w:r>
          </w:p>
        </w:tc>
        <w:tc>
          <w:tcPr>
            <w:tcW w:type="dxa" w:w="2808"/>
          </w:tcPr>
          <w:p>
            <w:r>
              <w:t xml:space="preserve">Chairs, Phones, Tables, Storage, Binders, Accessories</w:t>
            </w:r>
          </w:p>
        </w:tc>
        <w:tc>
          <w:tcPr>
            <w:tcW w:type="dxa" w:w="3744"/>
          </w:tcPr>
          <w:p>
            <w:r>
              <w:t xml:space="preserve">Standard reorder automation with moderate safety stock — predictable, so avoid over-buffering.</w:t>
            </w:r>
          </w:p>
        </w:tc>
      </w:tr>
      <w:tr>
        <w:tc>
          <w:tcPr>
            <w:tcW w:type="dxa" w:w="2808"/>
          </w:tcPr>
          <w:p>
            <w:r>
              <w:t xml:space="preserve">Growing Demand, High Volatility</w:t>
            </w:r>
          </w:p>
        </w:tc>
        <w:tc>
          <w:tcPr>
            <w:tcW w:type="dxa" w:w="2808"/>
          </w:tcPr>
          <w:p>
            <w:r>
              <w:t xml:space="preserve">Copiers</w:t>
            </w:r>
          </w:p>
        </w:tc>
        <w:tc>
          <w:tcPr>
            <w:tcW w:type="dxa" w:w="3744"/>
          </w:tcPr>
          <w:p>
            <w:r>
              <w:t xml:space="preserve">Stock ahead of the growth trend but keep supplier lead times short in case a spike doesn't repeat.</w:t>
            </w:r>
          </w:p>
        </w:tc>
      </w:tr>
      <w:tr>
        <w:tc>
          <w:tcPr>
            <w:tcW w:type="dxa" w:w="2808"/>
          </w:tcPr>
          <w:p>
            <w:r>
              <w:t xml:space="preserve">Low Volume, Stable Demand</w:t>
            </w:r>
          </w:p>
        </w:tc>
        <w:tc>
          <w:tcPr>
            <w:tcW w:type="dxa" w:w="2808"/>
          </w:tcPr>
          <w:p>
            <w:r>
              <w:t xml:space="preserve">Art, Paper, Labels, Envelopes, Appliances, and similar</w:t>
            </w:r>
          </w:p>
        </w:tc>
        <w:tc>
          <w:tcPr>
            <w:tcW w:type="dxa" w:w="3744"/>
          </w:tcPr>
          <w:p>
            <w:r>
              <w:t xml:space="preserve">Small, frequent orders — minimize holding costs rather than stockpiling.</w:t>
            </w:r>
          </w:p>
        </w:tc>
      </w:tr>
      <w:tr>
        <w:tc>
          <w:tcPr>
            <w:tcW w:type="dxa" w:w="2808"/>
          </w:tcPr>
          <w:p>
            <w:r>
              <w:t xml:space="preserve">Declining Demand, High Volatility</w:t>
            </w:r>
          </w:p>
        </w:tc>
        <w:tc>
          <w:tcPr>
            <w:tcW w:type="dxa" w:w="2808"/>
          </w:tcPr>
          <w:p>
            <w:r>
              <w:t xml:space="preserve">Machines</w:t>
            </w:r>
          </w:p>
        </w:tc>
        <w:tc>
          <w:tcPr>
            <w:tcW w:type="dxa" w:w="3744"/>
          </w:tcPr>
          <w:p>
            <w:r>
              <w:t xml:space="preserve">Avoid large stock commitments; consider clearance pricing or renegotiated supplier minimums.</w:t>
            </w:r>
          </w:p>
        </w:tc>
      </w:tr>
    </w:tbl>
    <w:p>
      <w:r>
        <w:br/>
        <w:t xml:space="preserve"/>
      </w:r>
    </w:p>
    <w:p>
      <w:pPr>
        <w:pStyle w:val="Heading1"/>
        <w:spacing w:after="100" w:before="200"/>
      </w:pPr>
      <w:r>
        <w:t xml:space="preserve">Business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inventory ahead of November: since the November/December spike has repeated for 4 straight years without exception, pre-position stock in October rather than reacting to demand as it arrives.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Prioritize the East region for expansion investment: it is the only region with an unbroken 4-year growth streak, making it the lowest-risk region for opening new stock capacity or marketing spend.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Re-evaluate the Machines sub-category: with a -30% growth trend and the highest volatility of any product group, continuing to hold large standing inventory here ties up capital in a shrinking, unpredictable segment.</w:t>
      </w:r>
    </w:p>
    <w:p>
      <w:pPr>
        <w:pStyle w:val="Heading1"/>
        <w:spacing w:after="100" w:before="200"/>
      </w:pPr>
      <w:r>
        <w:t xml:space="preserve">Risk &amp; Limitation</w:t>
      </w:r>
    </w:p>
    <w:p>
      <w:pPr>
        <w:spacing w:after="120"/>
      </w:pPr>
      <w:r>
        <w:t xml:space="preserve">This forecast is built on 4 years of historical data and assumes future demand will follow similar seasonal and growth patterns. It cannot anticipate one-off shocks — a new competitor, a supply chain disruption, or an unplanned promotion — and segment-level forecasts (by individual category or region) are noisier and less reliable than the overall company-wide forecast, simply because there is less data to learn from at that level. These forecasts should inform planning, not replace judgment on the ground.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2026-07-12T16:05:43.661Z</dcterms:created>
  <dcterms:modified xsi:type="dcterms:W3CDTF">2026-07-12T16:05:43.672Z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