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E3A5F"/>
          <w:sz w:val="64"/>
          <w:szCs w:val="64"/>
        </w:rPr>
        <w:t xml:space="preserve">PAYNOX</w:t>
      </w:r>
    </w:p>
    <w:p>
      <w:pPr>
        <w:spacing w:after="40"/>
      </w:pPr>
      <w:r>
        <w:rPr>
          <w:b/>
          <w:bCs/>
          <w:color w:val="A9781A"/>
          <w:sz w:val="32"/>
          <w:szCs w:val="32"/>
        </w:rPr>
        <w:t xml:space="preserve">Software Requirements Specification</w:t>
      </w:r>
    </w:p>
    <w:p>
      <w:pPr>
        <w:spacing w:after="400"/>
      </w:pPr>
      <w:r>
        <w:rPr>
          <w:color w:val="53606F"/>
          <w:sz w:val="24"/>
          <w:szCs w:val="24"/>
        </w:rPr>
        <w:t xml:space="preserve">Billing &amp; Company‑Finance System</w:t>
      </w:r>
    </w:p>
    <w:p>
      <w:pPr>
        <w:spacing w:after="90"/>
      </w:pPr>
      <w:r>
        <w:rPr>
          <w:b/>
          <w:bCs/>
        </w:rPr>
        <w:t xml:space="preserve">Owner: </w:t>
      </w:r>
      <w:r>
        <w:t xml:space="preserve">DreamCore Studio · by Safkat Turza</w:t>
      </w:r>
    </w:p>
    <w:p>
      <w:pPr>
        <w:spacing w:after="90"/>
      </w:pPr>
      <w:r>
        <w:rPr>
          <w:b/>
          <w:bCs/>
        </w:rPr>
        <w:t xml:space="preserve">Document version: </w:t>
      </w:r>
      <w:r>
        <w:t xml:space="preserve">1.0</w:t>
      </w:r>
      <w:r>
        <w:rPr>
          <w:b/>
          <w:bCs/>
        </w:rPr>
        <w:t xml:space="preserve">     Date: </w:t>
      </w:r>
      <w:r>
        <w:t xml:space="preserve">23 July 2026</w:t>
      </w:r>
    </w:p>
    <w:p>
      <w:pPr>
        <w:spacing w:after="90"/>
      </w:pPr>
      <w:r>
        <w:rPr>
          <w:b/>
          <w:bCs/>
        </w:rPr>
        <w:t xml:space="preserve">Product version: </w:t>
      </w:r>
      <w:r>
        <w:t xml:space="preserve">6.0.0</w:t>
      </w:r>
      <w:r>
        <w:rPr>
          <w:b/>
          <w:bCs/>
        </w:rPr>
        <w:t xml:space="preserve">     Status: </w:t>
      </w:r>
      <w:r>
        <w:t xml:space="preserve">As‑built</w:t>
      </w:r>
    </w:p>
    <w:p>
      <w:r>
        <w:br w:type="page"/>
      </w:r>
    </w:p>
    <w:p>
      <w:pPr>
        <w:pStyle w:val="Heading1"/>
        <w:spacing w:after="90" w:before="2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90" w:before="220"/>
      </w:pPr>
      <w:r>
        <w:t xml:space="preserve">1. Introduction</w:t>
      </w:r>
    </w:p>
    <w:p>
      <w:pPr>
        <w:pStyle w:val="Heading2"/>
        <w:spacing w:after="90" w:before="220"/>
      </w:pPr>
      <w:r>
        <w:t xml:space="preserve">1.1 Purpose</w:t>
      </w:r>
    </w:p>
    <w:p>
      <w:pPr>
        <w:spacing w:after="90"/>
      </w:pPr>
      <w:r>
        <w:t xml:space="preserve">This document specifies the requirements for Paynox, a browser‑based billing and company‑finance system. It describes what the system does, the rules it enforces, and the constraints it runs under. It is written as an as‑built specification: every requirement reflects behaviour already implemented in the shipped product, so it doubles as a verification checklist and a maintenance reference.</w:t>
      </w:r>
    </w:p>
    <w:p>
      <w:pPr>
        <w:pStyle w:val="Heading2"/>
        <w:spacing w:after="90" w:before="220"/>
      </w:pPr>
      <w:r>
        <w:t xml:space="preserve">1.2 Scope</w:t>
      </w:r>
    </w:p>
    <w:p>
      <w:pPr>
        <w:spacing w:after="90"/>
      </w:pPr>
      <w:r>
        <w:t xml:space="preserve">Paynox creates and manages professional business documents (invoices, estimates, purchase/work orders, money receipts) and runs a full finance back office alongside them: requisitions, vouchers, expenses, bills, income, payroll, loans, a posted ledger, asset tracking, and reporting. The system:</w:t>
      </w:r>
    </w:p>
    <w:p>
      <w:pPr>
        <w:pStyle w:val="ListParagraph"/>
        <w:numPr>
          <w:ilvl w:val="0"/>
          <w:numId w:val="2"/>
        </w:numPr>
        <w:spacing w:after="40"/>
      </w:pPr>
      <w:r>
        <w:t xml:space="preserve">runs entirely in the user’s web browser — no application server, no cloud database;</w:t>
      </w:r>
    </w:p>
    <w:p>
      <w:pPr>
        <w:pStyle w:val="ListParagraph"/>
        <w:numPr>
          <w:ilvl w:val="0"/>
          <w:numId w:val="2"/>
        </w:numPr>
        <w:spacing w:after="40"/>
      </w:pPr>
      <w:r>
        <w:t xml:space="preserve">stores all data locally (browser localStorage + IndexedDB);</w:t>
      </w:r>
    </w:p>
    <w:p>
      <w:pPr>
        <w:pStyle w:val="ListParagraph"/>
        <w:numPr>
          <w:ilvl w:val="0"/>
          <w:numId w:val="2"/>
        </w:numPr>
        <w:spacing w:after="40"/>
      </w:pPr>
      <w:r>
        <w:t xml:space="preserve">enforces role‑based access control and a maker‑checker approval workflow with real signatures;</w:t>
      </w:r>
    </w:p>
    <w:p>
      <w:pPr>
        <w:pStyle w:val="ListParagraph"/>
        <w:numPr>
          <w:ilvl w:val="0"/>
          <w:numId w:val="2"/>
        </w:numPr>
        <w:spacing w:after="40"/>
      </w:pPr>
      <w:r>
        <w:t xml:space="preserve">is portable between machines through a single JSON backup/restore file.</w:t>
      </w:r>
    </w:p>
    <w:p>
      <w:pPr>
        <w:spacing w:after="90"/>
      </w:pPr>
      <w:r>
        <w:rPr>
          <w:b/>
          <w:bCs/>
        </w:rPr>
        <w:t xml:space="preserve">Out of scope: </w:t>
      </w:r>
      <w:r>
        <w:t xml:space="preserve">multi‑user real‑time sync, server‑side authentication, online payment processing, and statutory e‑filing integrations.</w:t>
      </w:r>
    </w:p>
    <w:p>
      <w:pPr>
        <w:pStyle w:val="Heading2"/>
        <w:spacing w:after="90" w:before="220"/>
      </w:pPr>
      <w:r>
        <w:t xml:space="preserve">1.3 Definitions &amp; acronyms</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2600"/>
        <w:gridCol w:w="6760"/>
      </w:tblGrid>
      <w:tr>
        <w:trPr>
          <w:tblHeader/>
        </w:trPr>
        <w:tc>
          <w:tcPr>
            <w:tcW w:type="dxa" w:w="2600"/>
            <w:shd w:fill="1E3A5F" w:color="auto" w:val="clear"/>
            <w:tcMar>
              <w:top w:type="dxa" w:w="60"/>
              <w:left w:type="dxa" w:w="100"/>
              <w:bottom w:type="dxa" w:w="60"/>
              <w:right w:type="dxa" w:w="100"/>
            </w:tcMar>
          </w:tcPr>
          <w:p>
            <w:pPr>
              <w:spacing w:after="0"/>
            </w:pPr>
            <w:r>
              <w:rPr>
                <w:b/>
                <w:bCs/>
                <w:color w:val="FFFFFF"/>
                <w:sz w:val="18"/>
                <w:szCs w:val="18"/>
              </w:rPr>
              <w:t xml:space="preserve">Term</w:t>
            </w:r>
          </w:p>
        </w:tc>
        <w:tc>
          <w:tcPr>
            <w:tcW w:type="dxa" w:w="6760"/>
            <w:shd w:fill="1E3A5F" w:color="auto" w:val="clear"/>
            <w:tcMar>
              <w:top w:type="dxa" w:w="60"/>
              <w:left w:type="dxa" w:w="100"/>
              <w:bottom w:type="dxa" w:w="60"/>
              <w:right w:type="dxa" w:w="100"/>
            </w:tcMar>
          </w:tcPr>
          <w:p>
            <w:pPr>
              <w:spacing w:after="0"/>
            </w:pPr>
            <w:r>
              <w:rPr>
                <w:b/>
                <w:bCs/>
                <w:color w:val="FFFFFF"/>
                <w:sz w:val="18"/>
                <w:szCs w:val="18"/>
              </w:rPr>
              <w:t xml:space="preserve">Meaning</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SPA</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Single‑Page Application</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RBAC</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Role‑Based Access Control</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Head</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An income or expense category (chart of accounts)</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Account</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A cash, bank or MFS money account</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MFS</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Mobile Financial Services (bKash, Nagad)</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AIT</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Advance Income Tax (the “Tax” line on a document)</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VAT</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Value Added Tax</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Posted</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An entry that counts in dashboards, reports and statements</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Primary / Linked voucher</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Primary carries the real financial impact; linked is documentation only</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Contra</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Money moved between the company’s own accounts</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Maker‑checker</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Segregation of duties: the preparer cannot approve their own document</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YTD</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Year‑to‑Date</w:t>
            </w:r>
          </w:p>
        </w:tc>
      </w:tr>
    </w:tbl>
    <w:p>
      <w:pPr>
        <w:spacing w:after="60"/>
      </w:pPr>
    </w:p>
    <w:p>
      <w:pPr>
        <w:pStyle w:val="Heading2"/>
        <w:spacing w:after="90" w:before="220"/>
      </w:pPr>
      <w:r>
        <w:t xml:space="preserve">1.4 References</w:t>
      </w:r>
    </w:p>
    <w:p>
      <w:pPr>
        <w:pStyle w:val="ListParagraph"/>
        <w:numPr>
          <w:ilvl w:val="0"/>
          <w:numId w:val="2"/>
        </w:numPr>
        <w:spacing w:after="40"/>
      </w:pPr>
      <w:r>
        <w:t xml:space="preserve">Paynox User Manual v1.1 (public/paynox-user-manual.html) — end‑user guide and formula reference.</w:t>
      </w:r>
    </w:p>
    <w:p>
      <w:pPr>
        <w:pStyle w:val="ListParagraph"/>
        <w:numPr>
          <w:ilvl w:val="0"/>
          <w:numId w:val="2"/>
        </w:numPr>
        <w:spacing w:after="40"/>
      </w:pPr>
      <w:r>
        <w:t xml:space="preserve">Project README (README.md) — feature history by build phase.</w:t>
      </w:r>
    </w:p>
    <w:p>
      <w:pPr>
        <w:pStyle w:val="ListParagraph"/>
        <w:numPr>
          <w:ilvl w:val="0"/>
          <w:numId w:val="2"/>
        </w:numPr>
        <w:spacing w:after="40"/>
      </w:pPr>
      <w:r>
        <w:t xml:space="preserve">Source of truth for rules: src/lib/ (pricing, finance, salary, loans, reports, roles, numbering).</w:t>
      </w:r>
    </w:p>
    <w:p>
      <w:pPr>
        <w:pStyle w:val="Heading1"/>
        <w:spacing w:after="90" w:before="220"/>
      </w:pPr>
      <w:r>
        <w:t xml:space="preserve">2. Overall description</w:t>
      </w:r>
    </w:p>
    <w:p>
      <w:pPr>
        <w:pStyle w:val="Heading2"/>
        <w:spacing w:after="90" w:before="220"/>
      </w:pPr>
      <w:r>
        <w:t xml:space="preserve">2.1 Product perspective</w:t>
      </w:r>
    </w:p>
    <w:p>
      <w:pPr>
        <w:spacing w:after="90"/>
      </w:pPr>
      <w:r>
        <w:t xml:space="preserve">Paynox is a self‑contained, client‑only React SPA. It has no back end; the browser is the runtime and the datastore. It is delivered as static files and can be hosted on any static host or opened from disk.</w:t>
      </w:r>
    </w:p>
    <w:p>
      <w:pPr>
        <w:pStyle w:val="Heading2"/>
        <w:spacing w:after="90" w:before="220"/>
      </w:pPr>
      <w:r>
        <w:t xml:space="preserve">2.2 Architecture summary</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2600"/>
        <w:gridCol w:w="6760"/>
      </w:tblGrid>
      <w:tr>
        <w:trPr>
          <w:tblHeader/>
        </w:trPr>
        <w:tc>
          <w:tcPr>
            <w:tcW w:type="dxa" w:w="2600"/>
            <w:shd w:fill="1E3A5F" w:color="auto" w:val="clear"/>
            <w:tcMar>
              <w:top w:type="dxa" w:w="60"/>
              <w:left w:type="dxa" w:w="100"/>
              <w:bottom w:type="dxa" w:w="60"/>
              <w:right w:type="dxa" w:w="100"/>
            </w:tcMar>
          </w:tcPr>
          <w:p>
            <w:pPr>
              <w:spacing w:after="0"/>
            </w:pPr>
            <w:r>
              <w:rPr>
                <w:b/>
                <w:bCs/>
                <w:color w:val="FFFFFF"/>
                <w:sz w:val="18"/>
                <w:szCs w:val="18"/>
              </w:rPr>
              <w:t xml:space="preserve">Layer</w:t>
            </w:r>
          </w:p>
        </w:tc>
        <w:tc>
          <w:tcPr>
            <w:tcW w:type="dxa" w:w="6760"/>
            <w:shd w:fill="1E3A5F" w:color="auto" w:val="clear"/>
            <w:tcMar>
              <w:top w:type="dxa" w:w="60"/>
              <w:left w:type="dxa" w:w="100"/>
              <w:bottom w:type="dxa" w:w="60"/>
              <w:right w:type="dxa" w:w="100"/>
            </w:tcMar>
          </w:tcPr>
          <w:p>
            <w:pPr>
              <w:spacing w:after="0"/>
            </w:pPr>
            <w:r>
              <w:rPr>
                <w:b/>
                <w:bCs/>
                <w:color w:val="FFFFFF"/>
                <w:sz w:val="18"/>
                <w:szCs w:val="18"/>
              </w:rPr>
              <w:t xml:space="preserve">Technology / approach</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UI</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React 18, React Router 6 (HashRouter)</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Build</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Vite 5 (relative base, standalone output)</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State</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React Context providers (AppContext, FinanceContext, AssetContext)</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Persistence</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localStorage (structured data), IndexedDB (attachments)</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Exports</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Client‑side PDF (print), Excel (xlsx), Word (docx)</w:t>
            </w:r>
          </w:p>
        </w:tc>
      </w:tr>
      <w:tr>
        <w:trPr>
          <w:tblHeader w:val="false"/>
        </w:trPr>
        <w:tc>
          <w:tcPr>
            <w:tcW w:type="dxa" w:w="2600"/>
            <w:shd w:fill="FFFFFF" w:color="auto" w:val="clear"/>
            <w:tcMar>
              <w:top w:type="dxa" w:w="60"/>
              <w:left w:type="dxa" w:w="100"/>
              <w:bottom w:type="dxa" w:w="60"/>
              <w:right w:type="dxa" w:w="100"/>
            </w:tcMar>
          </w:tcPr>
          <w:p>
            <w:pPr>
              <w:spacing w:after="0"/>
            </w:pPr>
            <w:r>
              <w:rPr>
                <w:b w:val="false"/>
                <w:bCs w:val="false"/>
                <w:color w:val="1A2331"/>
                <w:sz w:val="18"/>
                <w:szCs w:val="18"/>
              </w:rPr>
              <w:t xml:space="preserve">Styling</w:t>
            </w:r>
          </w:p>
        </w:tc>
        <w:tc>
          <w:tcPr>
            <w:tcW w:type="dxa" w:w="6760"/>
            <w:shd w:fill="FFFFFF" w:color="auto" w:val="clear"/>
            <w:tcMar>
              <w:top w:type="dxa" w:w="60"/>
              <w:left w:type="dxa" w:w="100"/>
              <w:bottom w:type="dxa" w:w="60"/>
              <w:right w:type="dxa" w:w="100"/>
            </w:tcMar>
          </w:tcPr>
          <w:p>
            <w:pPr>
              <w:spacing w:after="0"/>
            </w:pPr>
            <w:r>
              <w:rPr>
                <w:b w:val="false"/>
                <w:bCs w:val="false"/>
                <w:color w:val="1A2331"/>
                <w:sz w:val="18"/>
                <w:szCs w:val="18"/>
              </w:rPr>
              <w:t xml:space="preserve">CSS custom‑property design tokens; responsive 320–1920 px</w:t>
            </w:r>
          </w:p>
        </w:tc>
      </w:tr>
    </w:tbl>
    <w:p>
      <w:pPr>
        <w:spacing w:after="60"/>
      </w:pPr>
    </w:p>
    <w:p>
      <w:pPr>
        <w:pStyle w:val="Heading2"/>
        <w:spacing w:after="90" w:before="220"/>
      </w:pPr>
      <w:r>
        <w:t xml:space="preserve">2.3 User classes and roles</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2200"/>
        <w:gridCol w:w="7160"/>
      </w:tblGrid>
      <w:tr>
        <w:trPr>
          <w:tblHeader/>
        </w:trPr>
        <w:tc>
          <w:tcPr>
            <w:tcW w:type="dxa" w:w="2200"/>
            <w:shd w:fill="1E3A5F" w:color="auto" w:val="clear"/>
            <w:tcMar>
              <w:top w:type="dxa" w:w="60"/>
              <w:left w:type="dxa" w:w="100"/>
              <w:bottom w:type="dxa" w:w="60"/>
              <w:right w:type="dxa" w:w="100"/>
            </w:tcMar>
          </w:tcPr>
          <w:p>
            <w:pPr>
              <w:spacing w:after="0"/>
            </w:pPr>
            <w:r>
              <w:rPr>
                <w:b/>
                <w:bCs/>
                <w:color w:val="FFFFFF"/>
                <w:sz w:val="18"/>
                <w:szCs w:val="18"/>
              </w:rPr>
              <w:t xml:space="preserve">Role</w:t>
            </w:r>
          </w:p>
        </w:tc>
        <w:tc>
          <w:tcPr>
            <w:tcW w:type="dxa" w:w="7160"/>
            <w:shd w:fill="1E3A5F" w:color="auto" w:val="clear"/>
            <w:tcMar>
              <w:top w:type="dxa" w:w="60"/>
              <w:left w:type="dxa" w:w="100"/>
              <w:bottom w:type="dxa" w:w="60"/>
              <w:right w:type="dxa" w:w="100"/>
            </w:tcMar>
          </w:tcPr>
          <w:p>
            <w:pPr>
              <w:spacing w:after="0"/>
            </w:pPr>
            <w:r>
              <w:rPr>
                <w:b/>
                <w:bCs/>
                <w:color w:val="FFFFFF"/>
                <w:sz w:val="18"/>
                <w:szCs w:val="18"/>
              </w:rPr>
              <w:t xml:space="preserve">Description</w:t>
            </w:r>
          </w:p>
        </w:tc>
      </w:tr>
      <w:tr>
        <w:trPr>
          <w:tblHeader w:val="false"/>
        </w:trPr>
        <w:tc>
          <w:tcPr>
            <w:tcW w:type="dxa" w:w="2200"/>
            <w:shd w:fill="FFFFFF" w:color="auto" w:val="clear"/>
            <w:tcMar>
              <w:top w:type="dxa" w:w="60"/>
              <w:left w:type="dxa" w:w="100"/>
              <w:bottom w:type="dxa" w:w="60"/>
              <w:right w:type="dxa" w:w="100"/>
            </w:tcMar>
          </w:tcPr>
          <w:p>
            <w:pPr>
              <w:spacing w:after="0"/>
            </w:pPr>
            <w:r>
              <w:rPr>
                <w:b w:val="false"/>
                <w:bCs w:val="false"/>
                <w:color w:val="1A2331"/>
                <w:sz w:val="18"/>
                <w:szCs w:val="18"/>
              </w:rPr>
              <w:t xml:space="preserve">Super Admin</w:t>
            </w:r>
          </w:p>
        </w:tc>
        <w:tc>
          <w:tcPr>
            <w:tcW w:type="dxa" w:w="7160"/>
            <w:shd w:fill="FFFFFF" w:color="auto" w:val="clear"/>
            <w:tcMar>
              <w:top w:type="dxa" w:w="60"/>
              <w:left w:type="dxa" w:w="100"/>
              <w:bottom w:type="dxa" w:w="60"/>
              <w:right w:type="dxa" w:w="100"/>
            </w:tcMar>
          </w:tcPr>
          <w:p>
            <w:pPr>
              <w:spacing w:after="0"/>
            </w:pPr>
            <w:r>
              <w:rPr>
                <w:b w:val="false"/>
                <w:bCs w:val="false"/>
                <w:color w:val="1A2331"/>
                <w:sz w:val="18"/>
                <w:szCs w:val="18"/>
              </w:rPr>
              <w:t xml:space="preserve">System owner. Full access everywhere, including finance data‑entry and final sign‑off.</w:t>
            </w:r>
          </w:p>
        </w:tc>
      </w:tr>
      <w:tr>
        <w:trPr>
          <w:tblHeader w:val="false"/>
        </w:trPr>
        <w:tc>
          <w:tcPr>
            <w:tcW w:type="dxa" w:w="2200"/>
            <w:shd w:fill="FFFFFF" w:color="auto" w:val="clear"/>
            <w:tcMar>
              <w:top w:type="dxa" w:w="60"/>
              <w:left w:type="dxa" w:w="100"/>
              <w:bottom w:type="dxa" w:w="60"/>
              <w:right w:type="dxa" w:w="100"/>
            </w:tcMar>
          </w:tcPr>
          <w:p>
            <w:pPr>
              <w:spacing w:after="0"/>
            </w:pPr>
            <w:r>
              <w:rPr>
                <w:b w:val="false"/>
                <w:bCs w:val="false"/>
                <w:color w:val="1A2331"/>
                <w:sz w:val="18"/>
                <w:szCs w:val="18"/>
              </w:rPr>
              <w:t xml:space="preserve">Admin</w:t>
            </w:r>
          </w:p>
        </w:tc>
        <w:tc>
          <w:tcPr>
            <w:tcW w:type="dxa" w:w="7160"/>
            <w:shd w:fill="FFFFFF" w:color="auto" w:val="clear"/>
            <w:tcMar>
              <w:top w:type="dxa" w:w="60"/>
              <w:left w:type="dxa" w:w="100"/>
              <w:bottom w:type="dxa" w:w="60"/>
              <w:right w:type="dxa" w:w="100"/>
            </w:tcMar>
          </w:tcPr>
          <w:p>
            <w:pPr>
              <w:spacing w:after="0"/>
            </w:pPr>
            <w:r>
              <w:rPr>
                <w:b w:val="false"/>
                <w:bCs w:val="false"/>
                <w:color w:val="1A2331"/>
                <w:sz w:val="18"/>
                <w:szCs w:val="18"/>
              </w:rPr>
              <w:t xml:space="preserve">Management. Views finance and gives final approval; cannot create/edit finance records. Manages Accounts + Business users.</w:t>
            </w:r>
          </w:p>
        </w:tc>
      </w:tr>
      <w:tr>
        <w:trPr>
          <w:tblHeader w:val="false"/>
        </w:trPr>
        <w:tc>
          <w:tcPr>
            <w:tcW w:type="dxa" w:w="2200"/>
            <w:shd w:fill="FFFFFF" w:color="auto" w:val="clear"/>
            <w:tcMar>
              <w:top w:type="dxa" w:w="60"/>
              <w:left w:type="dxa" w:w="100"/>
              <w:bottom w:type="dxa" w:w="60"/>
              <w:right w:type="dxa" w:w="100"/>
            </w:tcMar>
          </w:tcPr>
          <w:p>
            <w:pPr>
              <w:spacing w:after="0"/>
            </w:pPr>
            <w:r>
              <w:rPr>
                <w:b w:val="false"/>
                <w:bCs w:val="false"/>
                <w:color w:val="1A2331"/>
                <w:sz w:val="18"/>
                <w:szCs w:val="18"/>
              </w:rPr>
              <w:t xml:space="preserve">Accounts</w:t>
            </w:r>
          </w:p>
        </w:tc>
        <w:tc>
          <w:tcPr>
            <w:tcW w:type="dxa" w:w="7160"/>
            <w:shd w:fill="FFFFFF" w:color="auto" w:val="clear"/>
            <w:tcMar>
              <w:top w:type="dxa" w:w="60"/>
              <w:left w:type="dxa" w:w="100"/>
              <w:bottom w:type="dxa" w:w="60"/>
              <w:right w:type="dxa" w:w="100"/>
            </w:tcMar>
          </w:tcPr>
          <w:p>
            <w:pPr>
              <w:spacing w:after="0"/>
            </w:pPr>
            <w:r>
              <w:rPr>
                <w:b w:val="false"/>
                <w:bCs w:val="false"/>
                <w:color w:val="1A2331"/>
                <w:sz w:val="18"/>
                <w:szCs w:val="18"/>
              </w:rPr>
              <w:t xml:space="preserve">Finance department. Prepares and records finance documents; signs non‑final slots; no management sign‑off.</w:t>
            </w:r>
          </w:p>
        </w:tc>
      </w:tr>
      <w:tr>
        <w:trPr>
          <w:tblHeader w:val="false"/>
        </w:trPr>
        <w:tc>
          <w:tcPr>
            <w:tcW w:type="dxa" w:w="2200"/>
            <w:shd w:fill="FFFFFF" w:color="auto" w:val="clear"/>
            <w:tcMar>
              <w:top w:type="dxa" w:w="60"/>
              <w:left w:type="dxa" w:w="100"/>
              <w:bottom w:type="dxa" w:w="60"/>
              <w:right w:type="dxa" w:w="100"/>
            </w:tcMar>
          </w:tcPr>
          <w:p>
            <w:pPr>
              <w:spacing w:after="0"/>
            </w:pPr>
            <w:r>
              <w:rPr>
                <w:b w:val="false"/>
                <w:bCs w:val="false"/>
                <w:color w:val="1A2331"/>
                <w:sz w:val="18"/>
                <w:szCs w:val="18"/>
              </w:rPr>
              <w:t xml:space="preserve">Business Team</w:t>
            </w:r>
          </w:p>
        </w:tc>
        <w:tc>
          <w:tcPr>
            <w:tcW w:type="dxa" w:w="7160"/>
            <w:shd w:fill="FFFFFF" w:color="auto" w:val="clear"/>
            <w:tcMar>
              <w:top w:type="dxa" w:w="60"/>
              <w:left w:type="dxa" w:w="100"/>
              <w:bottom w:type="dxa" w:w="60"/>
              <w:right w:type="dxa" w:w="100"/>
            </w:tcMar>
          </w:tcPr>
          <w:p>
            <w:pPr>
              <w:spacing w:after="0"/>
            </w:pPr>
            <w:r>
              <w:rPr>
                <w:b w:val="false"/>
                <w:bCs w:val="false"/>
                <w:color w:val="1A2331"/>
                <w:sz w:val="18"/>
                <w:szCs w:val="18"/>
              </w:rPr>
              <w:t xml:space="preserve">Client‑facing sales. Invoices &amp; estimates only; no finance access; sees own estimates only.</w:t>
            </w:r>
          </w:p>
        </w:tc>
      </w:tr>
    </w:tbl>
    <w:p>
      <w:pPr>
        <w:spacing w:after="60"/>
      </w:pPr>
    </w:p>
    <w:p>
      <w:pPr>
        <w:pStyle w:val="Heading2"/>
        <w:spacing w:after="90" w:before="220"/>
      </w:pPr>
      <w:r>
        <w:t xml:space="preserve">2.4 Operating environment</w:t>
      </w:r>
    </w:p>
    <w:p>
      <w:pPr>
        <w:pStyle w:val="ListParagraph"/>
        <w:numPr>
          <w:ilvl w:val="0"/>
          <w:numId w:val="2"/>
        </w:numPr>
        <w:spacing w:after="40"/>
      </w:pPr>
      <w:r>
        <w:t xml:space="preserve">Any modern evergreen browser (Chromium, Firefox, Safari) on desktop, tablet or mobile.</w:t>
      </w:r>
    </w:p>
    <w:p>
      <w:pPr>
        <w:pStyle w:val="ListParagraph"/>
        <w:numPr>
          <w:ilvl w:val="0"/>
          <w:numId w:val="2"/>
        </w:numPr>
        <w:spacing w:after="40"/>
      </w:pPr>
      <w:r>
        <w:t xml:space="preserve">No network connection required after the app is loaded.</w:t>
      </w:r>
    </w:p>
    <w:p>
      <w:pPr>
        <w:pStyle w:val="Heading2"/>
        <w:spacing w:after="90" w:before="220"/>
      </w:pPr>
      <w:r>
        <w:t xml:space="preserve">2.5 Design &amp; implementation constraints</w:t>
      </w:r>
    </w:p>
    <w:p>
      <w:pPr>
        <w:pStyle w:val="ListParagraph"/>
        <w:numPr>
          <w:ilvl w:val="0"/>
          <w:numId w:val="2"/>
        </w:numPr>
        <w:spacing w:after="40"/>
      </w:pPr>
      <w:r>
        <w:rPr>
          <w:b/>
          <w:bCs/>
          <w:color w:val="1E3A5F"/>
        </w:rPr>
        <w:t xml:space="preserve">CON‑1  </w:t>
      </w:r>
      <w:r>
        <w:t xml:space="preserve">All data and logic execute client‑side; there is no server‑enforced security boundary. Access control governs the UI, not a protected API.</w:t>
      </w:r>
    </w:p>
    <w:p>
      <w:pPr>
        <w:pStyle w:val="ListParagraph"/>
        <w:numPr>
          <w:ilvl w:val="0"/>
          <w:numId w:val="2"/>
        </w:numPr>
        <w:spacing w:after="40"/>
      </w:pPr>
      <w:r>
        <w:rPr>
          <w:b/>
          <w:bCs/>
          <w:color w:val="1E3A5F"/>
        </w:rPr>
        <w:t xml:space="preserve">CON‑2  </w:t>
      </w:r>
      <w:r>
        <w:t xml:space="preserve">localStorage capacity (~5 MB) bounds structured data volume; writes fail gracefully without crashing.</w:t>
      </w:r>
    </w:p>
    <w:p>
      <w:pPr>
        <w:pStyle w:val="ListParagraph"/>
        <w:numPr>
          <w:ilvl w:val="0"/>
          <w:numId w:val="2"/>
        </w:numPr>
        <w:spacing w:after="40"/>
      </w:pPr>
      <w:r>
        <w:rPr>
          <w:b/>
          <w:bCs/>
          <w:color w:val="1E3A5F"/>
        </w:rPr>
        <w:t xml:space="preserve">CON‑3  </w:t>
      </w:r>
      <w:r>
        <w:t xml:space="preserve">Attachments are capped at 2 MB per file with automatic image compression, held in IndexedDB.</w:t>
      </w:r>
    </w:p>
    <w:p>
      <w:pPr>
        <w:pStyle w:val="ListParagraph"/>
        <w:numPr>
          <w:ilvl w:val="0"/>
          <w:numId w:val="2"/>
        </w:numPr>
        <w:spacing w:after="40"/>
      </w:pPr>
      <w:r>
        <w:rPr>
          <w:b/>
          <w:bCs/>
          <w:color w:val="1E3A5F"/>
        </w:rPr>
        <w:t xml:space="preserve">CON‑4  </w:t>
      </w:r>
      <w:r>
        <w:t xml:space="preserve">Currencies are never auto‑converted or mixed; consolidated figures use a per‑document BDT rate.</w:t>
      </w:r>
    </w:p>
    <w:p>
      <w:pPr>
        <w:pStyle w:val="Heading2"/>
        <w:spacing w:after="90" w:before="220"/>
      </w:pPr>
      <w:r>
        <w:t xml:space="preserve">2.6 Assumptions &amp; dependencies</w:t>
      </w:r>
    </w:p>
    <w:p>
      <w:pPr>
        <w:pStyle w:val="ListParagraph"/>
        <w:numPr>
          <w:ilvl w:val="0"/>
          <w:numId w:val="2"/>
        </w:numPr>
        <w:spacing w:after="40"/>
      </w:pPr>
      <w:r>
        <w:rPr>
          <w:b/>
          <w:bCs/>
          <w:color w:val="1E3A5F"/>
        </w:rPr>
        <w:t xml:space="preserve">ASM‑1  </w:t>
      </w:r>
      <w:r>
        <w:t xml:space="preserve">Users keep regular JSON backups; clearing browser data or switching browsers starts the app empty.</w:t>
      </w:r>
    </w:p>
    <w:p>
      <w:pPr>
        <w:pStyle w:val="ListParagraph"/>
        <w:numPr>
          <w:ilvl w:val="0"/>
          <w:numId w:val="2"/>
        </w:numPr>
        <w:spacing w:after="40"/>
      </w:pPr>
      <w:r>
        <w:rPr>
          <w:b/>
          <w:bCs/>
          <w:color w:val="1E3A5F"/>
        </w:rPr>
        <w:t xml:space="preserve">ASM‑2  </w:t>
      </w:r>
      <w:r>
        <w:t xml:space="preserve">One trusted installation per browser profile; role separation is procedural, appropriate to a small trusted team.</w:t>
      </w:r>
    </w:p>
    <w:p>
      <w:pPr>
        <w:pStyle w:val="Heading1"/>
        <w:spacing w:after="90" w:before="220"/>
      </w:pPr>
      <w:r>
        <w:t xml:space="preserve">3. Functional requirements</w:t>
      </w:r>
    </w:p>
    <w:p>
      <w:pPr>
        <w:spacing w:after="90"/>
      </w:pPr>
      <w:r>
        <w:rPr>
          <w:i/>
          <w:iCs/>
        </w:rPr>
        <w:t xml:space="preserve">Requirements are grouped by module and numbered </w:t>
      </w:r>
      <w:r>
        <w:rPr>
          <w:rFonts w:ascii="Consolas" w:cs="Consolas" w:eastAsia="Consolas" w:hAnsi="Consolas"/>
          <w:sz w:val="18"/>
          <w:szCs w:val="18"/>
        </w:rPr>
        <w:t xml:space="preserve">FR‑&lt;module&gt;.&lt;n&gt;</w:t>
      </w:r>
      <w:r>
        <w:rPr>
          <w:i/>
          <w:iCs/>
        </w:rPr>
        <w:t xml:space="preserve">. Each is testable.</w:t>
      </w:r>
    </w:p>
    <w:p>
      <w:pPr>
        <w:pStyle w:val="Heading2"/>
        <w:spacing w:after="90" w:before="220"/>
      </w:pPr>
      <w:r>
        <w:t xml:space="preserve">3.1 First‑time setup &amp; authentication (SETUP)</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FR‑SETUP.1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On first launch with no users, the system shall run a one‑time Setup Wizard to create the Super Admin.</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FR‑SETUP.2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The system shall generate a sequential User ID (DCS-YYYY-0001) and a one‑time temporary password, displayed once.</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FR‑SETUP.3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On first login with a generated/reset password, the system shall force a new password before proceeding.</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FR‑SETUP.4</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Users shall sign in with User ID + password. Sessions last 30 days; a banner warns ~5 minutes before expiry with an option to extend.</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FR‑SETUP.5</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New staff may request access via Sign up, creating a pending account that does nothing until an admin approves it and assigns a role.</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FR‑SETUP.6</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Password recovery shall use a user‑set security question; a correct answer allows setting a new password.</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FR‑SETUP.7</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 signed‑in user may change their password under Settings → My Account.</w:t>
            </w:r>
          </w:p>
        </w:tc>
      </w:tr>
    </w:tbl>
    <w:p>
      <w:pPr>
        <w:spacing w:after="60"/>
      </w:pPr>
    </w:p>
    <w:p>
      <w:pPr>
        <w:pStyle w:val="Heading2"/>
        <w:spacing w:after="90" w:before="220"/>
      </w:pPr>
      <w:r>
        <w:t xml:space="preserve">3.2 Roles &amp; access control (RBAC)</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FR‑RBAC.1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Every user shall hold exactly one role from {Super Admin, Admin, Accounts, Business Team}.</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FR‑RBAC.2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The system shall hide menu items, routes and actions the current role cannot access.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FR‑RBAC.3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Finance data entry shall be limited to Accounts and Super Admin; Admin may view and give final sign‑off only.</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FR‑RBAC.4</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Estimates shall be private to their creator for Accounts and Business Team; Admin and Super Admin see all.</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FR‑RBAC.5</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Business Team shall not see revenue figures, purchase/work orders, money receipts, or any finance module.</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FR‑RBAC.6</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Super Admin manages all roles; Admin manages Accounts + Business Team only.</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FR‑RBAC.7</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Finance masters, security settings and approval thresholds shall be Super Admin only.</w:t>
            </w:r>
          </w:p>
        </w:tc>
      </w:tr>
    </w:tbl>
    <w:p>
      <w:pPr>
        <w:spacing w:after="60"/>
      </w:pPr>
    </w:p>
    <w:p>
      <w:pPr>
        <w:pStyle w:val="Heading2"/>
        <w:spacing w:after="90" w:before="220"/>
      </w:pPr>
      <w:r>
        <w:t xml:space="preserve">3.3 Billing documents (DOC)</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FR‑DOC.1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The system shall create, edit, preview, and soft‑delete documents of each permitted type.</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FR‑DOC.2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Each document shall be numbered PREFIX-YYYYMMDD-SERIAL; the serial is reserved at first save; counters never reset.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FR‑DOC.3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Line items support quantity, rate, and an amount lock rule (rate calculates &amp; locks the amount; else amount entered directly).</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FR‑DOC.4</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Invoices/Estimates support Discount, Tax (AIT) and VAT (VAT only when AIT is on) and amount‑in‑words (intl + Lakh/Crore).</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FR‑DOC.5</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Purchase/Work Orders name a vendor, add a specification column, and split payment into milestones that must total 100%.</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FR‑DOC.6</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Invoices support Mark as Paid, recording payment and auto‑generating a receipt reference (RCPT-…) and notifications.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FR‑DOC.7</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Every document exports to Excel, Word, and prints to PDF (A4) in the selected template (Modern/Simple/Flexible).</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FR‑DOC.8</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Documents support file attachments subject to CON‑3.</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FR‑DOC.9</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Editing locks a document for other users (read‑only + request‑to‑edit); locks auto‑release after 30 min; admins may force‑unlock.</w:t>
            </w:r>
          </w:p>
        </w:tc>
      </w:tr>
    </w:tbl>
    <w:p>
      <w:pPr>
        <w:spacing w:after="60"/>
      </w:pPr>
    </w:p>
    <w:p>
      <w:pPr>
        <w:pStyle w:val="Heading2"/>
        <w:spacing w:after="90" w:before="220"/>
      </w:pPr>
      <w:r>
        <w:t xml:space="preserve">3.4 Finance module (FIN)</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Two masters feed every finance form: Accounts (cash/bank/MFS) and Heads (income/expense), each with opening balances.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Only approved, money‑moving documents post to the ledger; nothing else affects dashboards, reports or statements.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Requisitions follow Proposed → Checked → Authorised, and may link to the voucher that settles them.</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FR‑FIN.4</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Vouchers support Payment, Cash and Debit types, numbered PV/CV/DV-… (yearly reset).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FR‑FIN.5</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 voucher is Primary (posts) or Linked/Internal (documentation only) sharing a Transaction ID; linked never double‑posts.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FR‑FIN.6</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Vouchers support payment modes with reference fields and mask account/card numbers in print.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FR‑FIN.7</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 voucher supports a per‑head split, each line posting to its own head.</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FR‑FIN.8</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Daily Expenses post day‑to‑day spend directly to the ledger with head, account and attachment.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FR‑FIN.9</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Bills record vendor debts; no cash moves on save; recorded payments post; status Open/Partial/Paid, overdue + aging buckets.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FR‑FIN.10</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Income &amp; Investment record money in with head and account; investment tracked separately; income may carry a receipt.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FR‑FIN.11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Recurring entries template monthly costs and spawn an Expense or Bill on demand; last‑run tracking prevents double‑posting.</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FR‑FIN.12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Budgets set a monthly cap per expense head vs actual posted spend (warn at 80%, over at 100%).</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FR‑FIN.13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Account transfer (contra) moves money between own accounts as a matched pair, excluded from income/expense.</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FR‑FIN.14</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Void/reverse undoes an approved item (reason required): ledger voided, record kept and marked Reversed.</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FR‑FIN.15</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Duplicate‑as‑new clones any finance document into a fresh draft with number/signatures/status cleared.</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FR‑FIN.16</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 finance recycle bin keeps soft‑deleted finance documents for 30 days with restore and permanent delete.</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FR‑FIN.17</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Finance documents support foreign currency with a per‑document BDT rate; consolidated totals use BDT.</w:t>
            </w:r>
          </w:p>
        </w:tc>
      </w:tr>
    </w:tbl>
    <w:p>
      <w:pPr>
        <w:spacing w:after="60"/>
      </w:pPr>
    </w:p>
    <w:p>
      <w:pPr>
        <w:pStyle w:val="Heading2"/>
        <w:spacing w:after="90" w:before="220"/>
      </w:pPr>
      <w:r>
        <w:t xml:space="preserve">3.5 Approvals &amp; signatures (APPR)</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FR‑APPR.1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Finance documents move through an ordered signature chain and are Approved only when management signs.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FR‑APPR.2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Users store a personal signature (drawn/uploaded) and apply it, with a date, to their slot when it is their turn.</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FR‑APPR.3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Segregation of duties: the preparer may sign only the first slot; no user signs two slots.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FR‑APPR.4</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An approver may Reject (terminal, reason required); the preparer is notified and may duplicate as a new draft.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FR‑APPR.5</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An approver may Send back for correction — clears all signatures and returns the document as editable.</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FR‑APPR.6</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Each document carries a visible timeline (submitted, signatures, sent‑back/rejected, approved, reversed) with who/when.</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FR‑APPR.7</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An optional amount threshold governs routing; below it the checker may finalise; at/above it management sign‑off is required.</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FR‑APPR.8</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 voucher may be paid to an external party against a money receipt; the chain reorders to confirm the receiver first.</w:t>
            </w:r>
          </w:p>
        </w:tc>
      </w:tr>
    </w:tbl>
    <w:p>
      <w:pPr>
        <w:spacing w:after="60"/>
      </w:pPr>
    </w:p>
    <w:p>
      <w:pPr>
        <w:pStyle w:val="Heading2"/>
        <w:spacing w:after="90" w:before="220"/>
      </w:pPr>
      <w:r>
        <w:t xml:space="preserve">3.6 Payroll &amp; salary (PAY)</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FR‑PAY.1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An employee master (EMP-001) holds department, designation, base salary, type and profile‑only bank details.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FR‑PAY.2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 salary sheet pre‑fills from active employees, supports configurable components, and follows the signature chain.</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FR‑PAY.3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On approval, salary posts to the ledger and monthly expenditure.</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FR‑PAY.4</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Optional per‑sheet tracking captures present days, unpaid leave and overtime (hours × rate); extra columns appear only when used.</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FR‑PAY.5</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The sheet auto‑fills each employee’s due loan installment (capped at outstanding); approval records repayments and reduces balances.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FR‑PAY.6</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The system generates payslips (with YTD), bulk payslips, a salary disbursement voucher (derived), and a salary certificate.</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FR‑PAY.7</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Payslips are generated only after the sheet is approved.</w:t>
            </w:r>
          </w:p>
        </w:tc>
      </w:tr>
    </w:tbl>
    <w:p>
      <w:pPr>
        <w:spacing w:after="60"/>
      </w:pPr>
    </w:p>
    <w:p>
      <w:pPr>
        <w:pStyle w:val="Heading2"/>
        <w:spacing w:after="90" w:before="220"/>
      </w:pPr>
      <w:r>
        <w:t xml:space="preserve">3.7 Loans &amp; advances (LOAN)</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FR‑LOAN.1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 register of staff loans/advances holds principal, monthly installment and status (active/closed).</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FR‑LOAN.2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Outstanding balance = principal − total repayments, floored at 0.</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FR‑LOAN.3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Repayments are recordable manually with reference, remarks and attachments; capped at the outstanding balance.</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FR‑LOAN.4</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 reason is mandatory for adjustments, write‑offs, principal changes, settlement‑amount changes, or reversals.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FR‑LOAN.5</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Each loan keeps an immutable audit history (previous/new amounts, who, when); originals are never silently overwritten.</w:t>
            </w:r>
          </w:p>
        </w:tc>
      </w:tr>
    </w:tbl>
    <w:p>
      <w:pPr>
        <w:spacing w:after="60"/>
      </w:pPr>
    </w:p>
    <w:p>
      <w:pPr>
        <w:pStyle w:val="Heading2"/>
        <w:spacing w:after="90" w:before="220"/>
      </w:pPr>
      <w:r>
        <w:t xml:space="preserve">3.8 Asset management (ASSET)</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FR‑ASSET.1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An asset register (one record per asset) uses a configurable category/subcategory tree and per‑company ID prefixes.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FR‑ASSET.2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Assets carry lifecycle actions (assign, transfer, return, repair, damage, dispose/write‑off) with history; disposal is terminal.</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FR‑ASSET.3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The register supports filters, quick views and saved views; a dashboard presents clickable KPI cards.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FR‑ASSET.4</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The system tracks warranty end/status (configurable warning window) and repair costs (lifetime and per year).</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FR‑ASSET.5</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Asset visibility follows roles; Super Admin, Admin and Accounts have full access; Business Team is excluded by default.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FR‑ASSET.6</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Assets may link to an employee (assigned holder / clearance).</w:t>
            </w:r>
          </w:p>
        </w:tc>
      </w:tr>
    </w:tbl>
    <w:p>
      <w:pPr>
        <w:spacing w:after="60"/>
      </w:pPr>
    </w:p>
    <w:p>
      <w:pPr>
        <w:pStyle w:val="Heading2"/>
        <w:spacing w:after="90" w:before="220"/>
      </w:pPr>
      <w:r>
        <w:t xml:space="preserve">3.9 Reports &amp; insights (RPT)</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FR‑RPT.1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All reports are built from the posted ledger, grouped by currency, exportable to Excel and PDF.</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FR‑RPT.2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Monthly Expenditure shows approved expenses with billing income alongside; pending items excluded from totals.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FR‑RPT.3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Financial Reports pack: Cash Flow Statement, Profit &amp; Loss (investment excluded), Actual Expense Summary, Receivables Aging.</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FR‑RPT.4</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General Ledger: Trial Balance (balanced badge, as of any date), Ledger by Head (running net), Account Statement.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FR‑RPT.5</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Insights &amp; Forecast: income‑vs‑expense trend, expense‑by‑head proportions, cash‑flow forecast (posts nothing).</w:t>
            </w:r>
          </w:p>
        </w:tc>
      </w:tr>
    </w:tbl>
    <w:p>
      <w:pPr>
        <w:spacing w:after="60"/>
      </w:pPr>
    </w:p>
    <w:p>
      <w:pPr>
        <w:pStyle w:val="Heading2"/>
        <w:spacing w:after="90" w:before="220"/>
      </w:pPr>
      <w:r>
        <w:t xml:space="preserve">3.10 Settings &amp; configuration (SET)</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My Account — password and stored signature (all users).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Company Profile — details, logo, brand colour, bank; multiple companies (SA/Admin).</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Client/Vendor List — parties with contacts, reused across documents; auto codes.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FR‑SET.4</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Document Style — PDF template, brand colour and font, live‑previewed (SA/Admin).</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FR‑SET.5</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Finance Accounts — accounts and chart of heads with opening balances (Super Admin).</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FR‑SET.6</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Approval Rules — optional amount threshold (Super Admin).</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FR‑SET.7</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Users — create/approve users, assign roles, reset passwords (scope per role).</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FR‑SET.8</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Security — configuration and lockout policy (Super Admin).</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FR‑SET.9</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Data Backup — export/import full JSON backup (SA/Admin).</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FR‑SET.10</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 User Manual link (in‑app static page) is shown to Super Admin and Admin only.</w:t>
            </w:r>
          </w:p>
        </w:tc>
      </w:tr>
    </w:tbl>
    <w:p>
      <w:pPr>
        <w:spacing w:after="60"/>
      </w:pPr>
    </w:p>
    <w:p>
      <w:pPr>
        <w:pStyle w:val="Heading2"/>
        <w:spacing w:after="90" w:before="220"/>
      </w:pPr>
      <w:r>
        <w:t xml:space="preserve">3.11 Data, backup &amp; safety (DATA)</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FR‑DATA.1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Structured data is stored in localStorage under namespaced keys; attachments in IndexedDB.</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FR‑DATA.2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Export downloads a single JSON backup (DCS_Billing_Backup_YYYY-MM-DD.json).</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FR‑DATA.3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Import replaces all current data after an explicit confirmation.</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FR‑DATA.4</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An Audit Log (SA/Admin) records significant actions.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FR‑DATA.5</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 Recycle Bin (SA/Admin) holds soft‑deleted documents for 30 days with restore and permanent delete.</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FR‑DATA.6</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All destructive confirmations use in‑app modal dialogs (no browser‑native prompts).</w:t>
            </w:r>
          </w:p>
        </w:tc>
      </w:tr>
    </w:tbl>
    <w:p>
      <w:pPr>
        <w:spacing w:after="60"/>
      </w:pPr>
    </w:p>
    <w:p>
      <w:pPr>
        <w:pStyle w:val="Heading2"/>
        <w:spacing w:after="90" w:before="220"/>
      </w:pPr>
      <w:r>
        <w:t xml:space="preserve">3.12 Search &amp; notifications (NAV)</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FR‑NAV.1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Global search spans billing, finance and asset records, honours role visibility, and navigates to the match.</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FR‑NAV.2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In‑app notifications inform users of actions they can act on next and admin broadcasts.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FR‑NAV.3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The UI is responsive; on small screens the sidebar becomes a slide‑in drawer.</w:t>
            </w:r>
          </w:p>
        </w:tc>
      </w:tr>
    </w:tbl>
    <w:p>
      <w:pPr>
        <w:spacing w:after="60"/>
      </w:pPr>
    </w:p>
    <w:p>
      <w:pPr>
        <w:pStyle w:val="Heading1"/>
        <w:spacing w:after="90" w:before="220"/>
      </w:pPr>
      <w:r>
        <w:t xml:space="preserve">4. Data requirements</w:t>
      </w:r>
    </w:p>
    <w:p>
      <w:pPr>
        <w:pStyle w:val="Heading2"/>
        <w:spacing w:after="90" w:before="220"/>
      </w:pPr>
      <w:r>
        <w:t xml:space="preserve">4.1 Core entities (indicative fields)</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2200"/>
        <w:gridCol w:w="7160"/>
      </w:tblGrid>
      <w:tr>
        <w:trPr>
          <w:tblHeader/>
        </w:trPr>
        <w:tc>
          <w:tcPr>
            <w:tcW w:type="dxa" w:w="2200"/>
            <w:shd w:fill="1E3A5F" w:color="auto" w:val="clear"/>
            <w:tcMar>
              <w:top w:type="dxa" w:w="60"/>
              <w:left w:type="dxa" w:w="100"/>
              <w:bottom w:type="dxa" w:w="60"/>
              <w:right w:type="dxa" w:w="100"/>
            </w:tcMar>
          </w:tcPr>
          <w:p>
            <w:pPr>
              <w:spacing w:after="0"/>
            </w:pPr>
            <w:r>
              <w:rPr>
                <w:b/>
                <w:bCs/>
                <w:color w:val="FFFFFF"/>
                <w:sz w:val="18"/>
                <w:szCs w:val="18"/>
              </w:rPr>
              <w:t xml:space="preserve">Entity</w:t>
            </w:r>
          </w:p>
        </w:tc>
        <w:tc>
          <w:tcPr>
            <w:tcW w:type="dxa" w:w="7160"/>
            <w:shd w:fill="1E3A5F" w:color="auto" w:val="clear"/>
            <w:tcMar>
              <w:top w:type="dxa" w:w="60"/>
              <w:left w:type="dxa" w:w="100"/>
              <w:bottom w:type="dxa" w:w="60"/>
              <w:right w:type="dxa" w:w="100"/>
            </w:tcMar>
          </w:tcPr>
          <w:p>
            <w:pPr>
              <w:spacing w:after="0"/>
            </w:pPr>
            <w:r>
              <w:rPr>
                <w:b/>
                <w:bCs/>
                <w:color w:val="FFFFFF"/>
                <w:sz w:val="18"/>
                <w:szCs w:val="18"/>
              </w:rPr>
              <w:t xml:space="preserve">Key fields</w:t>
            </w:r>
          </w:p>
        </w:tc>
      </w:tr>
      <w:tr>
        <w:trPr>
          <w:tblHeader w:val="false"/>
        </w:trPr>
        <w:tc>
          <w:tcPr>
            <w:tcW w:type="dxa" w:w="2200"/>
            <w:shd w:fill="FFFFFF" w:color="auto" w:val="clear"/>
            <w:tcMar>
              <w:top w:type="dxa" w:w="60"/>
              <w:left w:type="dxa" w:w="100"/>
              <w:bottom w:type="dxa" w:w="60"/>
              <w:right w:type="dxa" w:w="100"/>
            </w:tcMar>
          </w:tcPr>
          <w:p>
            <w:pPr>
              <w:spacing w:after="0"/>
            </w:pPr>
            <w:r>
              <w:rPr>
                <w:b w:val="false"/>
                <w:bCs w:val="false"/>
                <w:color w:val="1A2331"/>
                <w:sz w:val="18"/>
                <w:szCs w:val="18"/>
              </w:rPr>
              <w:t xml:space="preserve">Document (billing)</w:t>
            </w:r>
          </w:p>
        </w:tc>
        <w:tc>
          <w:tcPr>
            <w:tcW w:type="dxa" w:w="7160"/>
            <w:shd w:fill="FFFFFF" w:color="auto" w:val="clear"/>
            <w:tcMar>
              <w:top w:type="dxa" w:w="60"/>
              <w:left w:type="dxa" w:w="100"/>
              <w:bottom w:type="dxa" w:w="60"/>
              <w:right w:type="dxa" w:w="100"/>
            </w:tcMar>
          </w:tcPr>
          <w:p>
            <w:pPr>
              <w:spacing w:after="0"/>
            </w:pPr>
            <w:r>
              <w:rPr>
                <w:b w:val="false"/>
                <w:bCs w:val="false"/>
                <w:color w:val="1A2331"/>
                <w:sz w:val="18"/>
                <w:szCs w:val="18"/>
              </w:rPr>
              <w:t xml:space="preserve">id, type, docNumber, date, party, companyId, currency, status, items[], discount/AIT/VAT flags &amp; rates, grandTotal, signatures[], milestones[], payments[]</w:t>
            </w:r>
          </w:p>
        </w:tc>
      </w:tr>
      <w:tr>
        <w:trPr>
          <w:tblHeader w:val="false"/>
        </w:trPr>
        <w:tc>
          <w:tcPr>
            <w:tcW w:type="dxa" w:w="2200"/>
            <w:shd w:fill="FFFFFF" w:color="auto" w:val="clear"/>
            <w:tcMar>
              <w:top w:type="dxa" w:w="60"/>
              <w:left w:type="dxa" w:w="100"/>
              <w:bottom w:type="dxa" w:w="60"/>
              <w:right w:type="dxa" w:w="100"/>
            </w:tcMar>
          </w:tcPr>
          <w:p>
            <w:pPr>
              <w:spacing w:after="0"/>
            </w:pPr>
            <w:r>
              <w:rPr>
                <w:b w:val="false"/>
                <w:bCs w:val="false"/>
                <w:color w:val="1A2331"/>
                <w:sz w:val="18"/>
                <w:szCs w:val="18"/>
              </w:rPr>
              <w:t xml:space="preserve">Finance document</w:t>
            </w:r>
          </w:p>
        </w:tc>
        <w:tc>
          <w:tcPr>
            <w:tcW w:type="dxa" w:w="7160"/>
            <w:shd w:fill="FFFFFF" w:color="auto" w:val="clear"/>
            <w:tcMar>
              <w:top w:type="dxa" w:w="60"/>
              <w:left w:type="dxa" w:w="100"/>
              <w:bottom w:type="dxa" w:w="60"/>
              <w:right w:type="dxa" w:w="100"/>
            </w:tcMar>
          </w:tcPr>
          <w:p>
            <w:pPr>
              <w:spacing w:after="0"/>
            </w:pPr>
            <w:r>
              <w:rPr>
                <w:b w:val="false"/>
                <w:bCs w:val="false"/>
                <w:color w:val="1A2331"/>
                <w:sz w:val="18"/>
                <w:szCs w:val="18"/>
              </w:rPr>
              <w:t xml:space="preserve">id, type, docNumber, date, status, amount / lines[], headId, accountId, currency, bdtRate, signatures[], linkType, transactionId</w:t>
            </w:r>
          </w:p>
        </w:tc>
      </w:tr>
      <w:tr>
        <w:trPr>
          <w:tblHeader w:val="false"/>
        </w:trPr>
        <w:tc>
          <w:tcPr>
            <w:tcW w:type="dxa" w:w="2200"/>
            <w:shd w:fill="FFFFFF" w:color="auto" w:val="clear"/>
            <w:tcMar>
              <w:top w:type="dxa" w:w="60"/>
              <w:left w:type="dxa" w:w="100"/>
              <w:bottom w:type="dxa" w:w="60"/>
              <w:right w:type="dxa" w:w="100"/>
            </w:tcMar>
          </w:tcPr>
          <w:p>
            <w:pPr>
              <w:spacing w:after="0"/>
            </w:pPr>
            <w:r>
              <w:rPr>
                <w:b w:val="false"/>
                <w:bCs w:val="false"/>
                <w:color w:val="1A2331"/>
                <w:sz w:val="18"/>
                <w:szCs w:val="18"/>
              </w:rPr>
              <w:t xml:space="preserve">Ledger transaction</w:t>
            </w:r>
          </w:p>
        </w:tc>
        <w:tc>
          <w:tcPr>
            <w:tcW w:type="dxa" w:w="7160"/>
            <w:shd w:fill="FFFFFF" w:color="auto" w:val="clear"/>
            <w:tcMar>
              <w:top w:type="dxa" w:w="60"/>
              <w:left w:type="dxa" w:w="100"/>
              <w:bottom w:type="dxa" w:w="60"/>
              <w:right w:type="dxa" w:w="100"/>
            </w:tcMar>
          </w:tcPr>
          <w:p>
            <w:pPr>
              <w:spacing w:after="0"/>
            </w:pPr>
            <w:r>
              <w:rPr>
                <w:b w:val="false"/>
                <w:bCs w:val="false"/>
                <w:color w:val="1A2331"/>
                <w:sz w:val="18"/>
                <w:szCs w:val="18"/>
              </w:rPr>
              <w:t xml:space="preserve">id, txnDate, direction (in/out), amount, currency, accountId, headId, linkType, status (posted)</w:t>
            </w:r>
          </w:p>
        </w:tc>
      </w:tr>
      <w:tr>
        <w:trPr>
          <w:tblHeader w:val="false"/>
        </w:trPr>
        <w:tc>
          <w:tcPr>
            <w:tcW w:type="dxa" w:w="2200"/>
            <w:shd w:fill="FFFFFF" w:color="auto" w:val="clear"/>
            <w:tcMar>
              <w:top w:type="dxa" w:w="60"/>
              <w:left w:type="dxa" w:w="100"/>
              <w:bottom w:type="dxa" w:w="60"/>
              <w:right w:type="dxa" w:w="100"/>
            </w:tcMar>
          </w:tcPr>
          <w:p>
            <w:pPr>
              <w:spacing w:after="0"/>
            </w:pPr>
            <w:r>
              <w:rPr>
                <w:b w:val="false"/>
                <w:bCs w:val="false"/>
                <w:color w:val="1A2331"/>
                <w:sz w:val="18"/>
                <w:szCs w:val="18"/>
              </w:rPr>
              <w:t xml:space="preserve">Account</w:t>
            </w:r>
          </w:p>
        </w:tc>
        <w:tc>
          <w:tcPr>
            <w:tcW w:type="dxa" w:w="7160"/>
            <w:shd w:fill="FFFFFF" w:color="auto" w:val="clear"/>
            <w:tcMar>
              <w:top w:type="dxa" w:w="60"/>
              <w:left w:type="dxa" w:w="100"/>
              <w:bottom w:type="dxa" w:w="60"/>
              <w:right w:type="dxa" w:w="100"/>
            </w:tcMar>
          </w:tcPr>
          <w:p>
            <w:pPr>
              <w:spacing w:after="0"/>
            </w:pPr>
            <w:r>
              <w:rPr>
                <w:b w:val="false"/>
                <w:bCs w:val="false"/>
                <w:color w:val="1A2331"/>
                <w:sz w:val="18"/>
                <w:szCs w:val="18"/>
              </w:rPr>
              <w:t xml:space="preserve">id, name, type (cash/bank/MFS), currency, openingBalance</w:t>
            </w:r>
          </w:p>
        </w:tc>
      </w:tr>
      <w:tr>
        <w:trPr>
          <w:tblHeader w:val="false"/>
        </w:trPr>
        <w:tc>
          <w:tcPr>
            <w:tcW w:type="dxa" w:w="2200"/>
            <w:shd w:fill="FFFFFF" w:color="auto" w:val="clear"/>
            <w:tcMar>
              <w:top w:type="dxa" w:w="60"/>
              <w:left w:type="dxa" w:w="100"/>
              <w:bottom w:type="dxa" w:w="60"/>
              <w:right w:type="dxa" w:w="100"/>
            </w:tcMar>
          </w:tcPr>
          <w:p>
            <w:pPr>
              <w:spacing w:after="0"/>
            </w:pPr>
            <w:r>
              <w:rPr>
                <w:b w:val="false"/>
                <w:bCs w:val="false"/>
                <w:color w:val="1A2331"/>
                <w:sz w:val="18"/>
                <w:szCs w:val="18"/>
              </w:rPr>
              <w:t xml:space="preserve">Head</w:t>
            </w:r>
          </w:p>
        </w:tc>
        <w:tc>
          <w:tcPr>
            <w:tcW w:type="dxa" w:w="7160"/>
            <w:shd w:fill="FFFFFF" w:color="auto" w:val="clear"/>
            <w:tcMar>
              <w:top w:type="dxa" w:w="60"/>
              <w:left w:type="dxa" w:w="100"/>
              <w:bottom w:type="dxa" w:w="60"/>
              <w:right w:type="dxa" w:w="100"/>
            </w:tcMar>
          </w:tcPr>
          <w:p>
            <w:pPr>
              <w:spacing w:after="0"/>
            </w:pPr>
            <w:r>
              <w:rPr>
                <w:b w:val="false"/>
                <w:bCs w:val="false"/>
                <w:color w:val="1A2331"/>
                <w:sz w:val="18"/>
                <w:szCs w:val="18"/>
              </w:rPr>
              <w:t xml:space="preserve">id, name, kind (income/expense/investment)</w:t>
            </w:r>
          </w:p>
        </w:tc>
      </w:tr>
      <w:tr>
        <w:trPr>
          <w:tblHeader w:val="false"/>
        </w:trPr>
        <w:tc>
          <w:tcPr>
            <w:tcW w:type="dxa" w:w="2200"/>
            <w:shd w:fill="FFFFFF" w:color="auto" w:val="clear"/>
            <w:tcMar>
              <w:top w:type="dxa" w:w="60"/>
              <w:left w:type="dxa" w:w="100"/>
              <w:bottom w:type="dxa" w:w="60"/>
              <w:right w:type="dxa" w:w="100"/>
            </w:tcMar>
          </w:tcPr>
          <w:p>
            <w:pPr>
              <w:spacing w:after="0"/>
            </w:pPr>
            <w:r>
              <w:rPr>
                <w:b w:val="false"/>
                <w:bCs w:val="false"/>
                <w:color w:val="1A2331"/>
                <w:sz w:val="18"/>
                <w:szCs w:val="18"/>
              </w:rPr>
              <w:t xml:space="preserve">Employee</w:t>
            </w:r>
          </w:p>
        </w:tc>
        <w:tc>
          <w:tcPr>
            <w:tcW w:type="dxa" w:w="7160"/>
            <w:shd w:fill="FFFFFF" w:color="auto" w:val="clear"/>
            <w:tcMar>
              <w:top w:type="dxa" w:w="60"/>
              <w:left w:type="dxa" w:w="100"/>
              <w:bottom w:type="dxa" w:w="60"/>
              <w:right w:type="dxa" w:w="100"/>
            </w:tcMar>
          </w:tcPr>
          <w:p>
            <w:pPr>
              <w:spacing w:after="0"/>
            </w:pPr>
            <w:r>
              <w:rPr>
                <w:b w:val="false"/>
                <w:bCs w:val="false"/>
                <w:color w:val="1A2331"/>
                <w:sz w:val="18"/>
                <w:szCs w:val="18"/>
              </w:rPr>
              <w:t xml:space="preserve">id, empId, name, department, designation, baseSalary, currency, bank{}, status</w:t>
            </w:r>
          </w:p>
        </w:tc>
      </w:tr>
      <w:tr>
        <w:trPr>
          <w:tblHeader w:val="false"/>
        </w:trPr>
        <w:tc>
          <w:tcPr>
            <w:tcW w:type="dxa" w:w="2200"/>
            <w:shd w:fill="FFFFFF" w:color="auto" w:val="clear"/>
            <w:tcMar>
              <w:top w:type="dxa" w:w="60"/>
              <w:left w:type="dxa" w:w="100"/>
              <w:bottom w:type="dxa" w:w="60"/>
              <w:right w:type="dxa" w:w="100"/>
            </w:tcMar>
          </w:tcPr>
          <w:p>
            <w:pPr>
              <w:spacing w:after="0"/>
            </w:pPr>
            <w:r>
              <w:rPr>
                <w:b w:val="false"/>
                <w:bCs w:val="false"/>
                <w:color w:val="1A2331"/>
                <w:sz w:val="18"/>
                <w:szCs w:val="18"/>
              </w:rPr>
              <w:t xml:space="preserve">Loan</w:t>
            </w:r>
          </w:p>
        </w:tc>
        <w:tc>
          <w:tcPr>
            <w:tcW w:type="dxa" w:w="7160"/>
            <w:shd w:fill="FFFFFF" w:color="auto" w:val="clear"/>
            <w:tcMar>
              <w:top w:type="dxa" w:w="60"/>
              <w:left w:type="dxa" w:w="100"/>
              <w:bottom w:type="dxa" w:w="60"/>
              <w:right w:type="dxa" w:w="100"/>
            </w:tcMar>
          </w:tcPr>
          <w:p>
            <w:pPr>
              <w:spacing w:after="0"/>
            </w:pPr>
            <w:r>
              <w:rPr>
                <w:b w:val="false"/>
                <w:bCs w:val="false"/>
                <w:color w:val="1A2331"/>
                <w:sz w:val="18"/>
                <w:szCs w:val="18"/>
              </w:rPr>
              <w:t xml:space="preserve">id, employeeId, type, principal, installment, currency, status, repayments[], history[]</w:t>
            </w:r>
          </w:p>
        </w:tc>
      </w:tr>
      <w:tr>
        <w:trPr>
          <w:tblHeader w:val="false"/>
        </w:trPr>
        <w:tc>
          <w:tcPr>
            <w:tcW w:type="dxa" w:w="2200"/>
            <w:shd w:fill="FFFFFF" w:color="auto" w:val="clear"/>
            <w:tcMar>
              <w:top w:type="dxa" w:w="60"/>
              <w:left w:type="dxa" w:w="100"/>
              <w:bottom w:type="dxa" w:w="60"/>
              <w:right w:type="dxa" w:w="100"/>
            </w:tcMar>
          </w:tcPr>
          <w:p>
            <w:pPr>
              <w:spacing w:after="0"/>
            </w:pPr>
            <w:r>
              <w:rPr>
                <w:b w:val="false"/>
                <w:bCs w:val="false"/>
                <w:color w:val="1A2331"/>
                <w:sz w:val="18"/>
                <w:szCs w:val="18"/>
              </w:rPr>
              <w:t xml:space="preserve">Asset</w:t>
            </w:r>
          </w:p>
        </w:tc>
        <w:tc>
          <w:tcPr>
            <w:tcW w:type="dxa" w:w="7160"/>
            <w:shd w:fill="FFFFFF" w:color="auto" w:val="clear"/>
            <w:tcMar>
              <w:top w:type="dxa" w:w="60"/>
              <w:left w:type="dxa" w:w="100"/>
              <w:bottom w:type="dxa" w:w="60"/>
              <w:right w:type="dxa" w:w="100"/>
            </w:tcMar>
          </w:tcPr>
          <w:p>
            <w:pPr>
              <w:spacing w:after="0"/>
            </w:pPr>
            <w:r>
              <w:rPr>
                <w:b w:val="false"/>
                <w:bCs w:val="false"/>
                <w:color w:val="1A2331"/>
                <w:sz w:val="18"/>
                <w:szCs w:val="18"/>
              </w:rPr>
              <w:t xml:space="preserve">id, assetId, categoryId, companyId, purchase/repair fields, assignments[], history[], status</w:t>
            </w:r>
          </w:p>
        </w:tc>
      </w:tr>
      <w:tr>
        <w:trPr>
          <w:tblHeader w:val="false"/>
        </w:trPr>
        <w:tc>
          <w:tcPr>
            <w:tcW w:type="dxa" w:w="2200"/>
            <w:shd w:fill="FFFFFF" w:color="auto" w:val="clear"/>
            <w:tcMar>
              <w:top w:type="dxa" w:w="60"/>
              <w:left w:type="dxa" w:w="100"/>
              <w:bottom w:type="dxa" w:w="60"/>
              <w:right w:type="dxa" w:w="100"/>
            </w:tcMar>
          </w:tcPr>
          <w:p>
            <w:pPr>
              <w:spacing w:after="0"/>
            </w:pPr>
            <w:r>
              <w:rPr>
                <w:b w:val="false"/>
                <w:bCs w:val="false"/>
                <w:color w:val="1A2331"/>
                <w:sz w:val="18"/>
                <w:szCs w:val="18"/>
              </w:rPr>
              <w:t xml:space="preserve">User</w:t>
            </w:r>
          </w:p>
        </w:tc>
        <w:tc>
          <w:tcPr>
            <w:tcW w:type="dxa" w:w="7160"/>
            <w:shd w:fill="FFFFFF" w:color="auto" w:val="clear"/>
            <w:tcMar>
              <w:top w:type="dxa" w:w="60"/>
              <w:left w:type="dxa" w:w="100"/>
              <w:bottom w:type="dxa" w:w="60"/>
              <w:right w:type="dxa" w:w="100"/>
            </w:tcMar>
          </w:tcPr>
          <w:p>
            <w:pPr>
              <w:spacing w:after="0"/>
            </w:pPr>
            <w:r>
              <w:rPr>
                <w:b w:val="false"/>
                <w:bCs w:val="false"/>
                <w:color w:val="1A2331"/>
                <w:sz w:val="18"/>
                <w:szCs w:val="18"/>
              </w:rPr>
              <w:t xml:space="preserve">id, username (DCS‑YYYY‑nnnn), fullName, role, passwordHash, securityQ/A, signature, active/pending</w:t>
            </w:r>
          </w:p>
        </w:tc>
      </w:tr>
    </w:tbl>
    <w:p>
      <w:pPr>
        <w:spacing w:after="60"/>
      </w:pPr>
    </w:p>
    <w:p>
      <w:pPr>
        <w:pStyle w:val="Heading2"/>
        <w:spacing w:after="90" w:before="220"/>
      </w:pPr>
      <w:r>
        <w:t xml:space="preserve">4.2 Storage keys (localStorage)</w:t>
      </w:r>
    </w:p>
    <w:p>
      <w:pPr>
        <w:shd w:fill="F1F4F8" w:color="auto" w:val="clear"/>
        <w:spacing w:after="0" w:before="40"/>
      </w:pPr>
      <w:r>
        <w:rPr>
          <w:rFonts w:ascii="Consolas" w:cs="Consolas" w:eastAsia="Consolas" w:hAnsi="Consolas"/>
          <w:sz w:val="18"/>
          <w:szCs w:val="18"/>
        </w:rPr>
        <w:t xml:space="preserve">dcs_companies, dcs_docs, dcs_clients, dcs_vendors, dcs_style, dcs_users,</w:t>
      </w:r>
    </w:p>
    <w:p>
      <w:pPr>
        <w:shd w:fill="F1F4F8" w:color="auto" w:val="clear"/>
        <w:spacing w:after="0" w:before="0"/>
      </w:pPr>
      <w:r>
        <w:rPr>
          <w:rFonts w:ascii="Consolas" w:cs="Consolas" w:eastAsia="Consolas" w:hAnsi="Consolas"/>
          <w:sz w:val="18"/>
          <w:szCs w:val="18"/>
        </w:rPr>
        <w:t xml:space="preserve">dcs_security, dcs_audit, dcs_notifs, dcs_counters, dcs_doc_columns,</w:t>
      </w:r>
    </w:p>
    <w:p>
      <w:pPr>
        <w:shd w:fill="F1F4F8" w:color="auto" w:val="clear"/>
        <w:spacing w:after="0" w:before="0"/>
      </w:pPr>
      <w:r>
        <w:rPr>
          <w:rFonts w:ascii="Consolas" w:cs="Consolas" w:eastAsia="Consolas" w:hAnsi="Consolas"/>
          <w:sz w:val="18"/>
          <w:szCs w:val="18"/>
        </w:rPr>
        <w:t xml:space="preserve">dcs_session, dcs_locks, dcs_fin_accounts, dcs_fin_heads, dcs_fin_docs,</w:t>
      </w:r>
    </w:p>
    <w:p>
      <w:pPr>
        <w:shd w:fill="F1F4F8" w:color="auto" w:val="clear"/>
        <w:spacing w:after="0" w:before="0"/>
      </w:pPr>
      <w:r>
        <w:rPr>
          <w:rFonts w:ascii="Consolas" w:cs="Consolas" w:eastAsia="Consolas" w:hAnsi="Consolas"/>
          <w:sz w:val="18"/>
          <w:szCs w:val="18"/>
        </w:rPr>
        <w:t xml:space="preserve">dcs_fin_txns, dcs_fin_templates, dcs_employees, dcs_fin_budgets,</w:t>
      </w:r>
    </w:p>
    <w:p>
      <w:pPr>
        <w:shd w:fill="F1F4F8" w:color="auto" w:val="clear"/>
        <w:spacing w:after="0" w:before="0"/>
      </w:pPr>
      <w:r>
        <w:rPr>
          <w:rFonts w:ascii="Consolas" w:cs="Consolas" w:eastAsia="Consolas" w:hAnsi="Consolas"/>
          <w:sz w:val="18"/>
          <w:szCs w:val="18"/>
        </w:rPr>
        <w:t xml:space="preserve">dcs_fin_recurring, dcs_fin_settings, dcs_fin_loans, dcs_assets,</w:t>
      </w:r>
    </w:p>
    <w:p>
      <w:pPr>
        <w:shd w:fill="F1F4F8" w:color="auto" w:val="clear"/>
        <w:spacing w:after="120" w:before="0"/>
      </w:pPr>
      <w:r>
        <w:rPr>
          <w:rFonts w:ascii="Consolas" w:cs="Consolas" w:eastAsia="Consolas" w:hAnsi="Consolas"/>
          <w:sz w:val="18"/>
          <w:szCs w:val="18"/>
        </w:rPr>
        <w:t xml:space="preserve">dcs_asset_categories, dcs_asset_settings   (attachments: IndexedDB)</w:t>
      </w:r>
    </w:p>
    <w:p>
      <w:pPr>
        <w:pStyle w:val="Heading2"/>
        <w:spacing w:after="90" w:before="220"/>
      </w:pPr>
      <w:r>
        <w:t xml:space="preserve">4.3 Identifiers &amp; numbering</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3000"/>
        <w:gridCol w:w="4560"/>
        <w:gridCol w:w="1800"/>
      </w:tblGrid>
      <w:tr>
        <w:trPr>
          <w:tblHeader/>
        </w:trPr>
        <w:tc>
          <w:tcPr>
            <w:tcW w:type="dxa" w:w="3000"/>
            <w:shd w:fill="1E3A5F"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4560"/>
            <w:shd w:fill="1E3A5F" w:color="auto" w:val="clear"/>
            <w:tcMar>
              <w:top w:type="dxa" w:w="60"/>
              <w:left w:type="dxa" w:w="100"/>
              <w:bottom w:type="dxa" w:w="60"/>
              <w:right w:type="dxa" w:w="100"/>
            </w:tcMar>
          </w:tcPr>
          <w:p>
            <w:pPr>
              <w:spacing w:after="0"/>
            </w:pPr>
            <w:r>
              <w:rPr>
                <w:b/>
                <w:bCs/>
                <w:color w:val="FFFFFF"/>
                <w:sz w:val="18"/>
                <w:szCs w:val="18"/>
              </w:rPr>
              <w:t xml:space="preserve">Format</w:t>
            </w:r>
          </w:p>
        </w:tc>
        <w:tc>
          <w:tcPr>
            <w:tcW w:type="dxa" w:w="1800"/>
            <w:shd w:fill="1E3A5F" w:color="auto" w:val="clear"/>
            <w:tcMar>
              <w:top w:type="dxa" w:w="60"/>
              <w:left w:type="dxa" w:w="100"/>
              <w:bottom w:type="dxa" w:w="60"/>
              <w:right w:type="dxa" w:w="100"/>
            </w:tcMar>
          </w:tcPr>
          <w:p>
            <w:pPr>
              <w:spacing w:after="0"/>
            </w:pPr>
            <w:r>
              <w:rPr>
                <w:b/>
                <w:bCs/>
                <w:color w:val="FFFFFF"/>
                <w:sz w:val="18"/>
                <w:szCs w:val="18"/>
              </w:rPr>
              <w:t xml:space="preserve">Resets</w:t>
            </w:r>
          </w:p>
        </w:tc>
      </w:tr>
      <w:tr>
        <w:trPr>
          <w:tblHeader w:val="false"/>
        </w:trPr>
        <w:tc>
          <w:tcPr>
            <w:tcW w:type="dxa" w:w="3000"/>
            <w:shd w:fill="FFFFFF" w:color="auto" w:val="clear"/>
            <w:tcMar>
              <w:top w:type="dxa" w:w="60"/>
              <w:left w:type="dxa" w:w="100"/>
              <w:bottom w:type="dxa" w:w="60"/>
              <w:right w:type="dxa" w:w="100"/>
            </w:tcMar>
          </w:tcPr>
          <w:p>
            <w:pPr>
              <w:spacing w:after="0"/>
            </w:pPr>
            <w:r>
              <w:rPr>
                <w:b w:val="false"/>
                <w:bCs w:val="false"/>
                <w:color w:val="1A2331"/>
                <w:sz w:val="18"/>
                <w:szCs w:val="18"/>
              </w:rPr>
              <w:t xml:space="preserve">Billing documents</w:t>
            </w:r>
          </w:p>
        </w:tc>
        <w:tc>
          <w:tcPr>
            <w:tcW w:type="dxa" w:w="4560"/>
            <w:shd w:fill="FFFFFF" w:color="auto" w:val="clear"/>
            <w:tcMar>
              <w:top w:type="dxa" w:w="60"/>
              <w:left w:type="dxa" w:w="100"/>
              <w:bottom w:type="dxa" w:w="60"/>
              <w:right w:type="dxa" w:w="100"/>
            </w:tcMar>
          </w:tcPr>
          <w:p>
            <w:pPr>
              <w:spacing w:after="0"/>
            </w:pPr>
            <w:r>
              <w:rPr>
                <w:b w:val="false"/>
                <w:bCs w:val="false"/>
                <w:color w:val="1A2331"/>
                <w:sz w:val="18"/>
                <w:szCs w:val="18"/>
              </w:rPr>
              <w:t xml:space="preserve">PREFIX-YYYYMMDD-SERIAL (INV/EST/PO/WO/MR)</w:t>
            </w:r>
          </w:p>
        </w:tc>
        <w:tc>
          <w:tcPr>
            <w:tcW w:type="dxa" w:w="1800"/>
            <w:shd w:fill="FFFFFF" w:color="auto" w:val="clear"/>
            <w:tcMar>
              <w:top w:type="dxa" w:w="60"/>
              <w:left w:type="dxa" w:w="100"/>
              <w:bottom w:type="dxa" w:w="60"/>
              <w:right w:type="dxa" w:w="100"/>
            </w:tcMar>
          </w:tcPr>
          <w:p>
            <w:pPr>
              <w:spacing w:after="0"/>
            </w:pPr>
            <w:r>
              <w:rPr>
                <w:b w:val="false"/>
                <w:bCs w:val="false"/>
                <w:color w:val="1A2331"/>
                <w:sz w:val="18"/>
                <w:szCs w:val="18"/>
              </w:rPr>
              <w:t xml:space="preserve">Never</w:t>
            </w:r>
          </w:p>
        </w:tc>
      </w:tr>
      <w:tr>
        <w:trPr>
          <w:tblHeader w:val="false"/>
        </w:trPr>
        <w:tc>
          <w:tcPr>
            <w:tcW w:type="dxa" w:w="3000"/>
            <w:shd w:fill="FFFFFF" w:color="auto" w:val="clear"/>
            <w:tcMar>
              <w:top w:type="dxa" w:w="60"/>
              <w:left w:type="dxa" w:w="100"/>
              <w:bottom w:type="dxa" w:w="60"/>
              <w:right w:type="dxa" w:w="100"/>
            </w:tcMar>
          </w:tcPr>
          <w:p>
            <w:pPr>
              <w:spacing w:after="0"/>
            </w:pPr>
            <w:r>
              <w:rPr>
                <w:b w:val="false"/>
                <w:bCs w:val="false"/>
                <w:color w:val="1A2331"/>
                <w:sz w:val="18"/>
                <w:szCs w:val="18"/>
              </w:rPr>
              <w:t xml:space="preserve">Payment / Cash / Debit voucher</w:t>
            </w:r>
          </w:p>
        </w:tc>
        <w:tc>
          <w:tcPr>
            <w:tcW w:type="dxa" w:w="4560"/>
            <w:shd w:fill="FFFFFF" w:color="auto" w:val="clear"/>
            <w:tcMar>
              <w:top w:type="dxa" w:w="60"/>
              <w:left w:type="dxa" w:w="100"/>
              <w:bottom w:type="dxa" w:w="60"/>
              <w:right w:type="dxa" w:w="100"/>
            </w:tcMar>
          </w:tcPr>
          <w:p>
            <w:pPr>
              <w:spacing w:after="0"/>
            </w:pPr>
            <w:r>
              <w:rPr>
                <w:b w:val="false"/>
                <w:bCs w:val="false"/>
                <w:color w:val="1A2331"/>
                <w:sz w:val="18"/>
                <w:szCs w:val="18"/>
              </w:rPr>
              <w:t xml:space="preserve">PV/CV/DV-YYYYMMDD-001</w:t>
            </w:r>
          </w:p>
        </w:tc>
        <w:tc>
          <w:tcPr>
            <w:tcW w:type="dxa" w:w="1800"/>
            <w:shd w:fill="FFFFFF" w:color="auto" w:val="clear"/>
            <w:tcMar>
              <w:top w:type="dxa" w:w="60"/>
              <w:left w:type="dxa" w:w="100"/>
              <w:bottom w:type="dxa" w:w="60"/>
              <w:right w:type="dxa" w:w="100"/>
            </w:tcMar>
          </w:tcPr>
          <w:p>
            <w:pPr>
              <w:spacing w:after="0"/>
            </w:pPr>
            <w:r>
              <w:rPr>
                <w:b w:val="false"/>
                <w:bCs w:val="false"/>
                <w:color w:val="1A2331"/>
                <w:sz w:val="18"/>
                <w:szCs w:val="18"/>
              </w:rPr>
              <w:t xml:space="preserve">Yearly</w:t>
            </w:r>
          </w:p>
        </w:tc>
      </w:tr>
      <w:tr>
        <w:trPr>
          <w:tblHeader w:val="false"/>
        </w:trPr>
        <w:tc>
          <w:tcPr>
            <w:tcW w:type="dxa" w:w="3000"/>
            <w:shd w:fill="FFFFFF" w:color="auto" w:val="clear"/>
            <w:tcMar>
              <w:top w:type="dxa" w:w="60"/>
              <w:left w:type="dxa" w:w="100"/>
              <w:bottom w:type="dxa" w:w="60"/>
              <w:right w:type="dxa" w:w="100"/>
            </w:tcMar>
          </w:tcPr>
          <w:p>
            <w:pPr>
              <w:spacing w:after="0"/>
            </w:pPr>
            <w:r>
              <w:rPr>
                <w:b w:val="false"/>
                <w:bCs w:val="false"/>
                <w:color w:val="1A2331"/>
                <w:sz w:val="18"/>
                <w:szCs w:val="18"/>
              </w:rPr>
              <w:t xml:space="preserve">Transaction ID</w:t>
            </w:r>
          </w:p>
        </w:tc>
        <w:tc>
          <w:tcPr>
            <w:tcW w:type="dxa" w:w="4560"/>
            <w:shd w:fill="FFFFFF" w:color="auto" w:val="clear"/>
            <w:tcMar>
              <w:top w:type="dxa" w:w="60"/>
              <w:left w:type="dxa" w:w="100"/>
              <w:bottom w:type="dxa" w:w="60"/>
              <w:right w:type="dxa" w:w="100"/>
            </w:tcMar>
          </w:tcPr>
          <w:p>
            <w:pPr>
              <w:spacing w:after="0"/>
            </w:pPr>
            <w:r>
              <w:rPr>
                <w:b w:val="false"/>
                <w:bCs w:val="false"/>
                <w:color w:val="1A2331"/>
                <w:sz w:val="18"/>
                <w:szCs w:val="18"/>
              </w:rPr>
              <w:t xml:space="preserve">TXN-YYYYMMDD-001</w:t>
            </w:r>
          </w:p>
        </w:tc>
        <w:tc>
          <w:tcPr>
            <w:tcW w:type="dxa" w:w="1800"/>
            <w:shd w:fill="FFFFFF" w:color="auto" w:val="clear"/>
            <w:tcMar>
              <w:top w:type="dxa" w:w="60"/>
              <w:left w:type="dxa" w:w="100"/>
              <w:bottom w:type="dxa" w:w="60"/>
              <w:right w:type="dxa" w:w="100"/>
            </w:tcMar>
          </w:tcPr>
          <w:p>
            <w:pPr>
              <w:spacing w:after="0"/>
            </w:pPr>
            <w:r>
              <w:rPr>
                <w:b w:val="false"/>
                <w:bCs w:val="false"/>
                <w:color w:val="1A2331"/>
                <w:sz w:val="18"/>
                <w:szCs w:val="18"/>
              </w:rPr>
              <w:t xml:space="preserve">Yearly</w:t>
            </w:r>
          </w:p>
        </w:tc>
      </w:tr>
      <w:tr>
        <w:trPr>
          <w:tblHeader w:val="false"/>
        </w:trPr>
        <w:tc>
          <w:tcPr>
            <w:tcW w:type="dxa" w:w="3000"/>
            <w:shd w:fill="FFFFFF" w:color="auto" w:val="clear"/>
            <w:tcMar>
              <w:top w:type="dxa" w:w="60"/>
              <w:left w:type="dxa" w:w="100"/>
              <w:bottom w:type="dxa" w:w="60"/>
              <w:right w:type="dxa" w:w="100"/>
            </w:tcMar>
          </w:tcPr>
          <w:p>
            <w:pPr>
              <w:spacing w:after="0"/>
            </w:pPr>
            <w:r>
              <w:rPr>
                <w:b w:val="false"/>
                <w:bCs w:val="false"/>
                <w:color w:val="1A2331"/>
                <w:sz w:val="18"/>
                <w:szCs w:val="18"/>
              </w:rPr>
              <w:t xml:space="preserve">Payment receipt</w:t>
            </w:r>
          </w:p>
        </w:tc>
        <w:tc>
          <w:tcPr>
            <w:tcW w:type="dxa" w:w="4560"/>
            <w:shd w:fill="FFFFFF" w:color="auto" w:val="clear"/>
            <w:tcMar>
              <w:top w:type="dxa" w:w="60"/>
              <w:left w:type="dxa" w:w="100"/>
              <w:bottom w:type="dxa" w:w="60"/>
              <w:right w:type="dxa" w:w="100"/>
            </w:tcMar>
          </w:tcPr>
          <w:p>
            <w:pPr>
              <w:spacing w:after="0"/>
            </w:pPr>
            <w:r>
              <w:rPr>
                <w:b w:val="false"/>
                <w:bCs w:val="false"/>
                <w:color w:val="1A2331"/>
                <w:sz w:val="18"/>
                <w:szCs w:val="18"/>
              </w:rPr>
              <w:t xml:space="preserve">RCPT-YYYYMMDD-001</w:t>
            </w:r>
          </w:p>
        </w:tc>
        <w:tc>
          <w:tcPr>
            <w:tcW w:type="dxa" w:w="1800"/>
            <w:shd w:fill="FFFFFF" w:color="auto" w:val="clear"/>
            <w:tcMar>
              <w:top w:type="dxa" w:w="60"/>
              <w:left w:type="dxa" w:w="100"/>
              <w:bottom w:type="dxa" w:w="60"/>
              <w:right w:type="dxa" w:w="100"/>
            </w:tcMar>
          </w:tcPr>
          <w:p>
            <w:pPr>
              <w:spacing w:after="0"/>
            </w:pPr>
            <w:r>
              <w:rPr>
                <w:b w:val="false"/>
                <w:bCs w:val="false"/>
                <w:color w:val="1A2331"/>
                <w:sz w:val="18"/>
                <w:szCs w:val="18"/>
              </w:rPr>
              <w:t xml:space="preserve">—</w:t>
            </w:r>
          </w:p>
        </w:tc>
      </w:tr>
      <w:tr>
        <w:trPr>
          <w:tblHeader w:val="false"/>
        </w:trPr>
        <w:tc>
          <w:tcPr>
            <w:tcW w:type="dxa" w:w="3000"/>
            <w:shd w:fill="FFFFFF" w:color="auto" w:val="clear"/>
            <w:tcMar>
              <w:top w:type="dxa" w:w="60"/>
              <w:left w:type="dxa" w:w="100"/>
              <w:bottom w:type="dxa" w:w="60"/>
              <w:right w:type="dxa" w:w="100"/>
            </w:tcMar>
          </w:tcPr>
          <w:p>
            <w:pPr>
              <w:spacing w:after="0"/>
            </w:pPr>
            <w:r>
              <w:rPr>
                <w:b w:val="false"/>
                <w:bCs w:val="false"/>
                <w:color w:val="1A2331"/>
                <w:sz w:val="18"/>
                <w:szCs w:val="18"/>
              </w:rPr>
              <w:t xml:space="preserve">Payslip</w:t>
            </w:r>
          </w:p>
        </w:tc>
        <w:tc>
          <w:tcPr>
            <w:tcW w:type="dxa" w:w="4560"/>
            <w:shd w:fill="FFFFFF" w:color="auto" w:val="clear"/>
            <w:tcMar>
              <w:top w:type="dxa" w:w="60"/>
              <w:left w:type="dxa" w:w="100"/>
              <w:bottom w:type="dxa" w:w="60"/>
              <w:right w:type="dxa" w:w="100"/>
            </w:tcMar>
          </w:tcPr>
          <w:p>
            <w:pPr>
              <w:spacing w:after="0"/>
            </w:pPr>
            <w:r>
              <w:rPr>
                <w:b w:val="false"/>
                <w:bCs w:val="false"/>
                <w:color w:val="1A2331"/>
                <w:sz w:val="18"/>
                <w:szCs w:val="18"/>
              </w:rPr>
              <w:t xml:space="preserve">DCS-SAL-…</w:t>
            </w:r>
          </w:p>
        </w:tc>
        <w:tc>
          <w:tcPr>
            <w:tcW w:type="dxa" w:w="1800"/>
            <w:shd w:fill="FFFFFF" w:color="auto" w:val="clear"/>
            <w:tcMar>
              <w:top w:type="dxa" w:w="60"/>
              <w:left w:type="dxa" w:w="100"/>
              <w:bottom w:type="dxa" w:w="60"/>
              <w:right w:type="dxa" w:w="100"/>
            </w:tcMar>
          </w:tcPr>
          <w:p>
            <w:pPr>
              <w:spacing w:after="0"/>
            </w:pPr>
            <w:r>
              <w:rPr>
                <w:b w:val="false"/>
                <w:bCs w:val="false"/>
                <w:color w:val="1A2331"/>
                <w:sz w:val="18"/>
                <w:szCs w:val="18"/>
              </w:rPr>
              <w:t xml:space="preserve">—</w:t>
            </w:r>
          </w:p>
        </w:tc>
      </w:tr>
      <w:tr>
        <w:trPr>
          <w:tblHeader w:val="false"/>
        </w:trPr>
        <w:tc>
          <w:tcPr>
            <w:tcW w:type="dxa" w:w="3000"/>
            <w:shd w:fill="FFFFFF" w:color="auto" w:val="clear"/>
            <w:tcMar>
              <w:top w:type="dxa" w:w="60"/>
              <w:left w:type="dxa" w:w="100"/>
              <w:bottom w:type="dxa" w:w="60"/>
              <w:right w:type="dxa" w:w="100"/>
            </w:tcMar>
          </w:tcPr>
          <w:p>
            <w:pPr>
              <w:spacing w:after="0"/>
            </w:pPr>
            <w:r>
              <w:rPr>
                <w:b w:val="false"/>
                <w:bCs w:val="false"/>
                <w:color w:val="1A2331"/>
                <w:sz w:val="18"/>
                <w:szCs w:val="18"/>
              </w:rPr>
              <w:t xml:space="preserve">Employee ID</w:t>
            </w:r>
          </w:p>
        </w:tc>
        <w:tc>
          <w:tcPr>
            <w:tcW w:type="dxa" w:w="4560"/>
            <w:shd w:fill="FFFFFF" w:color="auto" w:val="clear"/>
            <w:tcMar>
              <w:top w:type="dxa" w:w="60"/>
              <w:left w:type="dxa" w:w="100"/>
              <w:bottom w:type="dxa" w:w="60"/>
              <w:right w:type="dxa" w:w="100"/>
            </w:tcMar>
          </w:tcPr>
          <w:p>
            <w:pPr>
              <w:spacing w:after="0"/>
            </w:pPr>
            <w:r>
              <w:rPr>
                <w:b w:val="false"/>
                <w:bCs w:val="false"/>
                <w:color w:val="1A2331"/>
                <w:sz w:val="18"/>
                <w:szCs w:val="18"/>
              </w:rPr>
              <w:t xml:space="preserve">EMP-001</w:t>
            </w:r>
          </w:p>
        </w:tc>
        <w:tc>
          <w:tcPr>
            <w:tcW w:type="dxa" w:w="1800"/>
            <w:shd w:fill="FFFFFF" w:color="auto" w:val="clear"/>
            <w:tcMar>
              <w:top w:type="dxa" w:w="60"/>
              <w:left w:type="dxa" w:w="100"/>
              <w:bottom w:type="dxa" w:w="60"/>
              <w:right w:type="dxa" w:w="100"/>
            </w:tcMar>
          </w:tcPr>
          <w:p>
            <w:pPr>
              <w:spacing w:after="0"/>
            </w:pPr>
            <w:r>
              <w:rPr>
                <w:b w:val="false"/>
                <w:bCs w:val="false"/>
                <w:color w:val="1A2331"/>
                <w:sz w:val="18"/>
                <w:szCs w:val="18"/>
              </w:rPr>
              <w:t xml:space="preserve">Never</w:t>
            </w:r>
          </w:p>
        </w:tc>
      </w:tr>
      <w:tr>
        <w:trPr>
          <w:tblHeader w:val="false"/>
        </w:trPr>
        <w:tc>
          <w:tcPr>
            <w:tcW w:type="dxa" w:w="3000"/>
            <w:shd w:fill="FFFFFF" w:color="auto" w:val="clear"/>
            <w:tcMar>
              <w:top w:type="dxa" w:w="60"/>
              <w:left w:type="dxa" w:w="100"/>
              <w:bottom w:type="dxa" w:w="60"/>
              <w:right w:type="dxa" w:w="100"/>
            </w:tcMar>
          </w:tcPr>
          <w:p>
            <w:pPr>
              <w:spacing w:after="0"/>
            </w:pPr>
            <w:r>
              <w:rPr>
                <w:b w:val="false"/>
                <w:bCs w:val="false"/>
                <w:color w:val="1A2331"/>
                <w:sz w:val="18"/>
                <w:szCs w:val="18"/>
              </w:rPr>
              <w:t xml:space="preserve">User ID</w:t>
            </w:r>
          </w:p>
        </w:tc>
        <w:tc>
          <w:tcPr>
            <w:tcW w:type="dxa" w:w="4560"/>
            <w:shd w:fill="FFFFFF" w:color="auto" w:val="clear"/>
            <w:tcMar>
              <w:top w:type="dxa" w:w="60"/>
              <w:left w:type="dxa" w:w="100"/>
              <w:bottom w:type="dxa" w:w="60"/>
              <w:right w:type="dxa" w:w="100"/>
            </w:tcMar>
          </w:tcPr>
          <w:p>
            <w:pPr>
              <w:spacing w:after="0"/>
            </w:pPr>
            <w:r>
              <w:rPr>
                <w:b w:val="false"/>
                <w:bCs w:val="false"/>
                <w:color w:val="1A2331"/>
                <w:sz w:val="18"/>
                <w:szCs w:val="18"/>
              </w:rPr>
              <w:t xml:space="preserve">DCS-YYYY-0001</w:t>
            </w:r>
          </w:p>
        </w:tc>
        <w:tc>
          <w:tcPr>
            <w:tcW w:type="dxa" w:w="1800"/>
            <w:shd w:fill="FFFFFF" w:color="auto" w:val="clear"/>
            <w:tcMar>
              <w:top w:type="dxa" w:w="60"/>
              <w:left w:type="dxa" w:w="100"/>
              <w:bottom w:type="dxa" w:w="60"/>
              <w:right w:type="dxa" w:w="100"/>
            </w:tcMar>
          </w:tcPr>
          <w:p>
            <w:pPr>
              <w:spacing w:after="0"/>
            </w:pPr>
            <w:r>
              <w:rPr>
                <w:b w:val="false"/>
                <w:bCs w:val="false"/>
                <w:color w:val="1A2331"/>
                <w:sz w:val="18"/>
                <w:szCs w:val="18"/>
              </w:rPr>
              <w:t xml:space="preserve">Yearly serial</w:t>
            </w:r>
          </w:p>
        </w:tc>
      </w:tr>
    </w:tbl>
    <w:p>
      <w:pPr>
        <w:spacing w:after="60"/>
      </w:pPr>
    </w:p>
    <w:p>
      <w:pPr>
        <w:pStyle w:val="Heading1"/>
        <w:spacing w:after="90" w:before="220"/>
      </w:pPr>
      <w:r>
        <w:t xml:space="preserve">5. Business rules &amp; calculations</w:t>
      </w:r>
    </w:p>
    <w:p>
      <w:pPr>
        <w:spacing w:after="90"/>
      </w:pPr>
      <w:r>
        <w:rPr>
          <w:i/>
          <w:iCs/>
          <w:color w:val="53606F"/>
        </w:rPr>
        <w:t xml:space="preserve">Full formulas, worked examples and the exact source functions are in the User Manual §15. Summarised here for completeness.</w:t>
      </w:r>
    </w:p>
    <w:p>
      <w:pPr>
        <w:pStyle w:val="Heading2"/>
        <w:spacing w:after="90" w:before="220"/>
      </w:pPr>
      <w:r>
        <w:t xml:space="preserve">5.1 Document pricing — Discount, Tax (AIT), VAT</w:t>
      </w:r>
    </w:p>
    <w:p>
      <w:pPr>
        <w:shd w:fill="F1F4F8" w:color="auto" w:val="clear"/>
        <w:spacing w:after="0" w:before="40"/>
      </w:pPr>
      <w:r>
        <w:rPr>
          <w:rFonts w:ascii="Consolas" w:cs="Consolas" w:eastAsia="Consolas" w:hAnsi="Consolas"/>
          <w:sz w:val="18"/>
          <w:szCs w:val="18"/>
        </w:rPr>
        <w:t xml:space="preserve">subtotal      = Σ lineAmount</w:t>
      </w:r>
    </w:p>
    <w:p>
      <w:pPr>
        <w:shd w:fill="F1F4F8" w:color="auto" w:val="clear"/>
        <w:spacing w:after="0" w:before="0"/>
      </w:pPr>
      <w:r>
        <w:rPr>
          <w:rFonts w:ascii="Consolas" w:cs="Consolas" w:eastAsia="Consolas" w:hAnsi="Consolas"/>
          <w:sz w:val="18"/>
          <w:szCs w:val="18"/>
        </w:rPr>
        <w:t xml:space="preserve">afterDiscount = subtotal − subtotal × discountRate%</w:t>
      </w:r>
    </w:p>
    <w:p>
      <w:pPr>
        <w:shd w:fill="F1F4F8" w:color="auto" w:val="clear"/>
        <w:spacing w:after="0" w:before="0"/>
      </w:pPr>
      <w:r>
        <w:rPr>
          <w:rFonts w:ascii="Consolas" w:cs="Consolas" w:eastAsia="Consolas" w:hAnsi="Consolas"/>
          <w:sz w:val="18"/>
          <w:szCs w:val="18"/>
        </w:rPr>
        <w:t xml:space="preserve">aitAmount     = afterDiscount × aitRate%               (Tax / AIT)</w:t>
      </w:r>
    </w:p>
    <w:p>
      <w:pPr>
        <w:shd w:fill="F1F4F8" w:color="auto" w:val="clear"/>
        <w:spacing w:after="0" w:before="0"/>
      </w:pPr>
      <w:r>
        <w:rPr>
          <w:rFonts w:ascii="Consolas" w:cs="Consolas" w:eastAsia="Consolas" w:hAnsi="Consolas"/>
          <w:sz w:val="18"/>
          <w:szCs w:val="18"/>
        </w:rPr>
        <w:t xml:space="preserve">vatAmount     = (afterDiscount + aitAmount) × vatRate% (0 when AIT off)</w:t>
      </w:r>
    </w:p>
    <w:p>
      <w:pPr>
        <w:shd w:fill="F1F4F8" w:color="auto" w:val="clear"/>
        <w:spacing w:after="120" w:before="0"/>
      </w:pPr>
      <w:r>
        <w:rPr>
          <w:rFonts w:ascii="Consolas" w:cs="Consolas" w:eastAsia="Consolas" w:hAnsi="Consolas"/>
          <w:sz w:val="18"/>
          <w:szCs w:val="18"/>
        </w:rPr>
        <w:t xml:space="preserve">grandTotal    = afterDiscount + aitAmount + vatAmount</w:t>
      </w:r>
    </w:p>
    <w:p>
      <w:pPr>
        <w:spacing w:after="90"/>
      </w:pPr>
      <w:r>
        <w:rPr>
          <w:b/>
          <w:bCs/>
        </w:rPr>
        <w:t xml:space="preserve">Rule: </w:t>
      </w:r>
      <w:r>
        <w:t xml:space="preserve">VAT is charged on the amount after AIT, so VAT applies only when AIT is enabled. lineAmount = qty × rate (or rate if qty is 0/blank, or a manually entered amount when no rate). (src/lib/pricing.js)</w:t>
      </w:r>
    </w:p>
    <w:p>
      <w:pPr>
        <w:pStyle w:val="Heading2"/>
        <w:spacing w:after="90" w:before="220"/>
      </w:pPr>
      <w:r>
        <w:t xml:space="preserve">5.2 Ledger &amp; reports</w:t>
      </w:r>
    </w:p>
    <w:p>
      <w:pPr>
        <w:pStyle w:val="ListParagraph"/>
        <w:numPr>
          <w:ilvl w:val="0"/>
          <w:numId w:val="2"/>
        </w:numPr>
        <w:spacing w:after="40"/>
      </w:pPr>
      <w:r>
        <w:t xml:space="preserve">Single‑entry cash accounting: money‑in adds to an account and credits an income head; money‑out subtracts and debits an expense head; contra transfers touch no head.</w:t>
      </w:r>
    </w:p>
    <w:p>
      <w:pPr>
        <w:pStyle w:val="ListParagraph"/>
        <w:numPr>
          <w:ilvl w:val="0"/>
          <w:numId w:val="2"/>
        </w:numPr>
        <w:spacing w:after="40"/>
      </w:pPr>
      <w:r>
        <w:t xml:space="preserve">Trial balance is balanced when |total debit − total credit| &lt; 0.05.</w:t>
      </w:r>
    </w:p>
    <w:p>
      <w:pPr>
        <w:pStyle w:val="ListParagraph"/>
        <w:numPr>
          <w:ilvl w:val="0"/>
          <w:numId w:val="2"/>
        </w:numPr>
        <w:spacing w:after="40"/>
      </w:pPr>
      <w:r>
        <w:t xml:space="preserve">Account statement = opening + running balance of in‑range movements → closing.</w:t>
      </w:r>
    </w:p>
    <w:p>
      <w:pPr>
        <w:pStyle w:val="ListParagraph"/>
        <w:numPr>
          <w:ilvl w:val="0"/>
          <w:numId w:val="2"/>
        </w:numPr>
        <w:spacing w:after="40"/>
      </w:pPr>
      <w:r>
        <w:t xml:space="preserve">Monthly net = income + investment − expense; income includes paid billing invoices.</w:t>
      </w:r>
    </w:p>
    <w:p>
      <w:pPr>
        <w:pStyle w:val="ListParagraph"/>
        <w:numPr>
          <w:ilvl w:val="0"/>
          <w:numId w:val="2"/>
        </w:numPr>
        <w:spacing w:after="40"/>
      </w:pPr>
      <w:r>
        <w:t xml:space="preserve">Cash‑flow forecast projects startBalance + Σ(inflow − outflow) forward and posts nothing. (src/lib/reports.js)</w:t>
      </w:r>
    </w:p>
    <w:p>
      <w:pPr>
        <w:pStyle w:val="Heading2"/>
        <w:spacing w:after="90" w:before="220"/>
      </w:pPr>
      <w:r>
        <w:t xml:space="preserve">5.3 Payroll</w:t>
      </w:r>
    </w:p>
    <w:p>
      <w:pPr>
        <w:shd w:fill="F1F4F8" w:color="auto" w:val="clear"/>
        <w:spacing w:after="0" w:before="40"/>
      </w:pPr>
      <w:r>
        <w:rPr>
          <w:rFonts w:ascii="Consolas" w:cs="Consolas" w:eastAsia="Consolas" w:hAnsi="Consolas"/>
          <w:sz w:val="18"/>
          <w:szCs w:val="18"/>
        </w:rPr>
        <w:t xml:space="preserve">perDay          = base / workingDays   (default 26)</w:t>
      </w:r>
    </w:p>
    <w:p>
      <w:pPr>
        <w:shd w:fill="F1F4F8" w:color="auto" w:val="clear"/>
        <w:spacing w:after="0" w:before="0"/>
      </w:pPr>
      <w:r>
        <w:rPr>
          <w:rFonts w:ascii="Consolas" w:cs="Consolas" w:eastAsia="Consolas" w:hAnsi="Consolas"/>
          <w:sz w:val="18"/>
          <w:szCs w:val="18"/>
        </w:rPr>
        <w:t xml:space="preserve">unpaidDeduction = perDay × unpaidDays</w:t>
      </w:r>
    </w:p>
    <w:p>
      <w:pPr>
        <w:shd w:fill="F1F4F8" w:color="auto" w:val="clear"/>
        <w:spacing w:after="0" w:before="0"/>
      </w:pPr>
      <w:r>
        <w:rPr>
          <w:rFonts w:ascii="Consolas" w:cs="Consolas" w:eastAsia="Consolas" w:hAnsi="Consolas"/>
          <w:sz w:val="18"/>
          <w:szCs w:val="18"/>
        </w:rPr>
        <w:t xml:space="preserve">overtimeAmount  = overtimeHours × overtimeRate</w:t>
      </w:r>
    </w:p>
    <w:p>
      <w:pPr>
        <w:shd w:fill="F1F4F8" w:color="auto" w:val="clear"/>
        <w:spacing w:after="0" w:before="0"/>
      </w:pPr>
      <w:r>
        <w:rPr>
          <w:rFonts w:ascii="Consolas" w:cs="Consolas" w:eastAsia="Consolas" w:hAnsi="Consolas"/>
          <w:sz w:val="18"/>
          <w:szCs w:val="18"/>
        </w:rPr>
        <w:t xml:space="preserve">gross           = base + overtimeAmount + earningComponents</w:t>
      </w:r>
    </w:p>
    <w:p>
      <w:pPr>
        <w:shd w:fill="F1F4F8" w:color="auto" w:val="clear"/>
        <w:spacing w:after="120" w:before="0"/>
      </w:pPr>
      <w:r>
        <w:rPr>
          <w:rFonts w:ascii="Consolas" w:cs="Consolas" w:eastAsia="Consolas" w:hAnsi="Consolas"/>
          <w:sz w:val="18"/>
          <w:szCs w:val="18"/>
        </w:rPr>
        <w:t xml:space="preserve">net             = gross − unpaidDeduction − deductionComponents − loanDeduction</w:t>
      </w:r>
    </w:p>
    <w:p>
      <w:pPr>
        <w:pStyle w:val="Heading2"/>
        <w:spacing w:after="90" w:before="220"/>
      </w:pPr>
      <w:r>
        <w:t xml:space="preserve">5.4 Bills &amp; loans</w:t>
      </w:r>
    </w:p>
    <w:p>
      <w:pPr>
        <w:pStyle w:val="ListParagraph"/>
        <w:numPr>
          <w:ilvl w:val="0"/>
          <w:numId w:val="2"/>
        </w:numPr>
        <w:spacing w:after="40"/>
      </w:pPr>
      <w:r>
        <w:t xml:space="preserve">billDue = max(0, amount − Σ payments); status Paid/Partial/Open derived; aging by days past due. (src/lib/finance.js)</w:t>
      </w:r>
    </w:p>
    <w:p>
      <w:pPr>
        <w:pStyle w:val="ListParagraph"/>
        <w:numPr>
          <w:ilvl w:val="0"/>
          <w:numId w:val="2"/>
        </w:numPr>
        <w:spacing w:after="40"/>
      </w:pPr>
      <w:r>
        <w:t xml:space="preserve">loanOutstanding = round2(max(0, principal − Σ repayments)); suggested installment = min(installment, outstanding). (src/lib/loans.js)</w:t>
      </w:r>
    </w:p>
    <w:p>
      <w:pPr>
        <w:pStyle w:val="Heading2"/>
        <w:spacing w:after="90" w:before="220"/>
      </w:pPr>
      <w:r>
        <w:t xml:space="preserve">5.5 General numeric rules</w:t>
      </w:r>
    </w:p>
    <w:p>
      <w:pPr>
        <w:pStyle w:val="ListParagraph"/>
        <w:numPr>
          <w:ilvl w:val="0"/>
          <w:numId w:val="2"/>
        </w:numPr>
        <w:spacing w:after="40"/>
      </w:pPr>
      <w:r>
        <w:t xml:space="preserve">Blank/non‑numeric inputs read as 0 before entering any formula.</w:t>
      </w:r>
    </w:p>
    <w:p>
      <w:pPr>
        <w:pStyle w:val="ListParagraph"/>
        <w:numPr>
          <w:ilvl w:val="0"/>
          <w:numId w:val="2"/>
        </w:numPr>
        <w:spacing w:after="40"/>
      </w:pPr>
      <w:r>
        <w:t xml:space="preserve">Money is rounded to two decimals (round2).</w:t>
      </w:r>
    </w:p>
    <w:p>
      <w:pPr>
        <w:pStyle w:val="ListParagraph"/>
        <w:numPr>
          <w:ilvl w:val="0"/>
          <w:numId w:val="2"/>
        </w:numPr>
        <w:spacing w:after="40"/>
      </w:pPr>
      <w:r>
        <w:t xml:space="preserve">Currencies are never mixed or auto‑converted; consolidation uses per‑document BDT rate.</w:t>
      </w:r>
    </w:p>
    <w:p>
      <w:pPr>
        <w:pStyle w:val="Heading1"/>
        <w:spacing w:after="90" w:before="220"/>
      </w:pPr>
      <w:r>
        <w:t xml:space="preserve">6. Non‑functional requirements</w:t>
      </w:r>
    </w:p>
    <w:p>
      <w:pPr>
        <w:pStyle w:val="Heading2"/>
        <w:spacing w:after="90" w:before="220"/>
      </w:pPr>
      <w:r>
        <w:t xml:space="preserve">6.1 Security &amp; privacy</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NFR‑SEC.1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Access control shall hide every unauthorised menu, route and action (UI‑level, per CON‑1).</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NFR‑SEC.2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Finance preparation and authorisation shall be separable roles (maker‑checker).</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NFR‑SEC.3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No data shall leave the browser except through user‑initiated export.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NFR‑SEC.4</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Sensitive account/card numbers shall be masked in printed output.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NFR‑SEC.5</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Sessions shall expire after 30 days; an account lockout policy shall be configurable.</w:t>
            </w:r>
          </w:p>
        </w:tc>
      </w:tr>
    </w:tbl>
    <w:p>
      <w:pPr>
        <w:spacing w:after="60"/>
      </w:pPr>
    </w:p>
    <w:p>
      <w:pPr>
        <w:pStyle w:val="Heading2"/>
        <w:spacing w:after="90" w:before="220"/>
      </w:pPr>
      <w:r>
        <w:t xml:space="preserve">6.2 Usability</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NFR‑USE.1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Actions with financial or destructive impact shall require explicit in‑app confirmation.</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NFR‑USE.2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The system shall provide save‑status feedback and recover interrupted edits.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NFR‑USE.3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An in‑app user manual shall be available to management roles.</w:t>
            </w:r>
          </w:p>
        </w:tc>
      </w:tr>
    </w:tbl>
    <w:p>
      <w:pPr>
        <w:spacing w:after="60"/>
      </w:pPr>
    </w:p>
    <w:p>
      <w:pPr>
        <w:pStyle w:val="Heading2"/>
        <w:spacing w:after="90" w:before="220"/>
      </w:pPr>
      <w:r>
        <w:t xml:space="preserve">6.3 Performance</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NFR‑PERF.1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All operations shall run locally with no network latency after load.</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NFR‑PERF.2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Report and ledger computations shall be pure functions, sized for a small‑business dataset.</w:t>
            </w:r>
          </w:p>
        </w:tc>
      </w:tr>
    </w:tbl>
    <w:p>
      <w:pPr>
        <w:spacing w:after="60"/>
      </w:pPr>
    </w:p>
    <w:p>
      <w:pPr>
        <w:pStyle w:val="Heading2"/>
        <w:spacing w:after="90" w:before="220"/>
      </w:pPr>
      <w:r>
        <w:t xml:space="preserve">6.4 Reliability &amp; data safety</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NFR‑REL.1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Storage writes shall fail gracefully (logged, non‑crashing) when quota is exceeded.</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NFR‑REL.2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Deletes shall be soft (30‑day recycle bin) before permanent removal.</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NFR‑REL.3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Financial changes shall preserve an immutable audit trail.</w:t>
            </w:r>
          </w:p>
        </w:tc>
      </w:tr>
    </w:tbl>
    <w:p>
      <w:pPr>
        <w:spacing w:after="60"/>
      </w:pPr>
    </w:p>
    <w:p>
      <w:pPr>
        <w:pStyle w:val="Heading2"/>
        <w:spacing w:after="90" w:before="220"/>
      </w:pPr>
      <w:r>
        <w:t xml:space="preserve">6.5 Portability &amp; compatibility</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NFR‑PORT.1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The app shall run from any static host or local file (relative asset paths).</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NFR‑PORT.2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Data shall be portable between machines via JSON backup/restore.</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NFR‑PORT.3</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The UI shall be responsive across 320–1920 px and theme‑aware where applicable.</w:t>
            </w:r>
          </w:p>
        </w:tc>
      </w:tr>
    </w:tbl>
    <w:p>
      <w:pPr>
        <w:spacing w:after="60"/>
      </w:pPr>
    </w:p>
    <w:p>
      <w:pPr>
        <w:pStyle w:val="Heading2"/>
        <w:spacing w:after="90" w:before="220"/>
      </w:pPr>
      <w:r>
        <w:t xml:space="preserve">6.6 Maintainability</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1500"/>
        <w:gridCol w:w="7860"/>
      </w:tblGrid>
      <w:tr>
        <w:trPr>
          <w:tblHeader/>
        </w:trPr>
        <w:tc>
          <w:tcPr>
            <w:tcW w:type="dxa" w:w="1500"/>
            <w:shd w:fill="1E3A5F" w:color="auto" w:val="clear"/>
            <w:tcMar>
              <w:top w:type="dxa" w:w="60"/>
              <w:left w:type="dxa" w:w="100"/>
              <w:bottom w:type="dxa" w:w="60"/>
              <w:right w:type="dxa" w:w="100"/>
            </w:tcMar>
          </w:tcPr>
          <w:p>
            <w:pPr>
              <w:spacing w:after="0"/>
            </w:pPr>
            <w:r>
              <w:rPr>
                <w:b/>
                <w:bCs/>
                <w:color w:val="FFFFFF"/>
                <w:sz w:val="18"/>
                <w:szCs w:val="18"/>
              </w:rPr>
              <w:t xml:space="preserve">ID</w:t>
            </w:r>
          </w:p>
        </w:tc>
        <w:tc>
          <w:tcPr>
            <w:tcW w:type="dxa" w:w="7860"/>
            <w:shd w:fill="1E3A5F" w:color="auto" w:val="clear"/>
            <w:tcMar>
              <w:top w:type="dxa" w:w="60"/>
              <w:left w:type="dxa" w:w="100"/>
              <w:bottom w:type="dxa" w:w="60"/>
              <w:right w:type="dxa" w:w="100"/>
            </w:tcMar>
          </w:tcPr>
          <w:p>
            <w:pPr>
              <w:spacing w:after="0"/>
            </w:pPr>
            <w:r>
              <w:rPr>
                <w:b/>
                <w:bCs/>
                <w:color w:val="FFFFFF"/>
                <w:sz w:val="18"/>
                <w:szCs w:val="18"/>
              </w:rPr>
              <w:t xml:space="preserve">Requirement</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NFR‑MAINT.1</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Calculation logic shall live in pure, testable modules under src/lib/.</w:t>
            </w:r>
          </w:p>
        </w:tc>
      </w:tr>
      <w:tr>
        <w:trPr>
          <w:tblHeader w:val="false"/>
        </w:trPr>
        <w:tc>
          <w:tcPr>
            <w:tcW w:type="dxa" w:w="1500"/>
            <w:shd w:fill="FFFFFF" w:color="auto" w:val="clear"/>
            <w:tcMar>
              <w:top w:type="dxa" w:w="60"/>
              <w:left w:type="dxa" w:w="100"/>
              <w:bottom w:type="dxa" w:w="60"/>
              <w:right w:type="dxa" w:w="100"/>
            </w:tcMar>
          </w:tcPr>
          <w:p>
            <w:pPr>
              <w:spacing w:after="0"/>
            </w:pPr>
            <w:r>
              <w:rPr>
                <w:b w:val="false"/>
                <w:bCs w:val="false"/>
                <w:color w:val="1A2331"/>
                <w:sz w:val="18"/>
                <w:szCs w:val="18"/>
              </w:rPr>
              <w:t xml:space="preserve">NFR‑MAINT.2</w:t>
            </w:r>
          </w:p>
        </w:tc>
        <w:tc>
          <w:tcPr>
            <w:tcW w:type="dxa" w:w="7860"/>
            <w:shd w:fill="FFFFFF" w:color="auto" w:val="clear"/>
            <w:tcMar>
              <w:top w:type="dxa" w:w="60"/>
              <w:left w:type="dxa" w:w="100"/>
              <w:bottom w:type="dxa" w:w="60"/>
              <w:right w:type="dxa" w:w="100"/>
            </w:tcMar>
          </w:tcPr>
          <w:p>
            <w:pPr>
              <w:spacing w:after="0"/>
            </w:pPr>
            <w:r>
              <w:rPr>
                <w:b w:val="false"/>
                <w:bCs w:val="false"/>
                <w:color w:val="1A2331"/>
                <w:sz w:val="18"/>
                <w:szCs w:val="18"/>
              </w:rPr>
              <w:t xml:space="preserve">Roles and permissions shall be defined in a single matrix (src/lib/roles.js).</w:t>
            </w:r>
          </w:p>
        </w:tc>
      </w:tr>
    </w:tbl>
    <w:p>
      <w:pPr>
        <w:spacing w:after="60"/>
      </w:pPr>
    </w:p>
    <w:p>
      <w:pPr>
        <w:pStyle w:val="Heading1"/>
        <w:spacing w:after="90" w:before="220"/>
      </w:pPr>
      <w:r>
        <w:t xml:space="preserve">7. Traceability index</w:t>
      </w:r>
    </w:p>
    <w:tbl>
      <w:tblPr>
        <w:tblW w:type="dxa" w:w="9360"/>
        <w:tblBorders>
          <w:top w:val="single" w:color="CCD4DE" w:sz="4"/>
          <w:left w:val="single" w:color="CCD4DE" w:sz="4"/>
          <w:bottom w:val="single" w:color="CCD4DE" w:sz="4"/>
          <w:right w:val="single" w:color="CCD4DE" w:sz="4"/>
          <w:insideH w:val="single" w:color="CCD4DE" w:sz="4"/>
          <w:insideV w:val="single" w:color="CCD4DE" w:sz="4"/>
        </w:tblBorders>
      </w:tblPr>
      <w:tblGrid>
        <w:gridCol w:w="2000"/>
        <w:gridCol w:w="2400"/>
        <w:gridCol w:w="4960"/>
      </w:tblGrid>
      <w:tr>
        <w:trPr>
          <w:tblHeader/>
        </w:trPr>
        <w:tc>
          <w:tcPr>
            <w:tcW w:type="dxa" w:w="2000"/>
            <w:shd w:fill="1E3A5F" w:color="auto" w:val="clear"/>
            <w:tcMar>
              <w:top w:type="dxa" w:w="60"/>
              <w:left w:type="dxa" w:w="100"/>
              <w:bottom w:type="dxa" w:w="60"/>
              <w:right w:type="dxa" w:w="100"/>
            </w:tcMar>
          </w:tcPr>
          <w:p>
            <w:pPr>
              <w:spacing w:after="0"/>
            </w:pPr>
            <w:r>
              <w:rPr>
                <w:b/>
                <w:bCs/>
                <w:color w:val="FFFFFF"/>
                <w:sz w:val="18"/>
                <w:szCs w:val="18"/>
              </w:rPr>
              <w:t xml:space="preserve">Module</w:t>
            </w:r>
          </w:p>
        </w:tc>
        <w:tc>
          <w:tcPr>
            <w:tcW w:type="dxa" w:w="2400"/>
            <w:shd w:fill="1E3A5F" w:color="auto" w:val="clear"/>
            <w:tcMar>
              <w:top w:type="dxa" w:w="60"/>
              <w:left w:type="dxa" w:w="100"/>
              <w:bottom w:type="dxa" w:w="60"/>
              <w:right w:type="dxa" w:w="100"/>
            </w:tcMar>
          </w:tcPr>
          <w:p>
            <w:pPr>
              <w:spacing w:after="0"/>
            </w:pPr>
            <w:r>
              <w:rPr>
                <w:b/>
                <w:bCs/>
                <w:color w:val="FFFFFF"/>
                <w:sz w:val="18"/>
                <w:szCs w:val="18"/>
              </w:rPr>
              <w:t xml:space="preserve">Requirements</w:t>
            </w:r>
          </w:p>
        </w:tc>
        <w:tc>
          <w:tcPr>
            <w:tcW w:type="dxa" w:w="4960"/>
            <w:shd w:fill="1E3A5F" w:color="auto" w:val="clear"/>
            <w:tcMar>
              <w:top w:type="dxa" w:w="60"/>
              <w:left w:type="dxa" w:w="100"/>
              <w:bottom w:type="dxa" w:w="60"/>
              <w:right w:type="dxa" w:w="100"/>
            </w:tcMar>
          </w:tcPr>
          <w:p>
            <w:pPr>
              <w:spacing w:after="0"/>
            </w:pPr>
            <w:r>
              <w:rPr>
                <w:b/>
                <w:bCs/>
                <w:color w:val="FFFFFF"/>
                <w:sz w:val="18"/>
                <w:szCs w:val="18"/>
              </w:rPr>
              <w:t xml:space="preserve">Primary source</w:t>
            </w:r>
          </w:p>
        </w:tc>
      </w:tr>
      <w:tr>
        <w:trPr>
          <w:tblHeader w:val="false"/>
        </w:trPr>
        <w:tc>
          <w:tcPr>
            <w:tcW w:type="dxa" w:w="2000"/>
            <w:shd w:fill="FFFFFF" w:color="auto" w:val="clear"/>
            <w:tcMar>
              <w:top w:type="dxa" w:w="60"/>
              <w:left w:type="dxa" w:w="100"/>
              <w:bottom w:type="dxa" w:w="60"/>
              <w:right w:type="dxa" w:w="100"/>
            </w:tcMar>
          </w:tcPr>
          <w:p>
            <w:pPr>
              <w:spacing w:after="0"/>
            </w:pPr>
            <w:r>
              <w:rPr>
                <w:b w:val="false"/>
                <w:bCs w:val="false"/>
                <w:color w:val="1A2331"/>
                <w:sz w:val="18"/>
                <w:szCs w:val="18"/>
              </w:rPr>
              <w:t xml:space="preserve">Setup &amp; Auth</w:t>
            </w:r>
          </w:p>
        </w:tc>
        <w:tc>
          <w:tcPr>
            <w:tcW w:type="dxa" w:w="24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FR‑SETUP.1–7</w:t>
            </w:r>
          </w:p>
        </w:tc>
        <w:tc>
          <w:tcPr>
            <w:tcW w:type="dxa" w:w="4960"/>
            <w:shd w:fill="FFFFFF" w:color="auto" w:val="clear"/>
            <w:tcMar>
              <w:top w:type="dxa" w:w="60"/>
              <w:left w:type="dxa" w:w="100"/>
              <w:bottom w:type="dxa" w:w="60"/>
              <w:right w:type="dxa" w:w="100"/>
            </w:tcMar>
          </w:tcPr>
          <w:p>
            <w:pPr>
              <w:spacing w:after="0"/>
            </w:pPr>
            <w:r>
              <w:rPr>
                <w:b w:val="false"/>
                <w:bCs w:val="false"/>
                <w:color w:val="1A2331"/>
                <w:sz w:val="18"/>
                <w:szCs w:val="18"/>
              </w:rPr>
              <w:t xml:space="preserve">SetupWizard, AppContext, security.js, numbering.js</w:t>
            </w:r>
          </w:p>
        </w:tc>
      </w:tr>
      <w:tr>
        <w:trPr>
          <w:tblHeader w:val="false"/>
        </w:trPr>
        <w:tc>
          <w:tcPr>
            <w:tcW w:type="dxa" w:w="2000"/>
            <w:shd w:fill="FFFFFF" w:color="auto" w:val="clear"/>
            <w:tcMar>
              <w:top w:type="dxa" w:w="60"/>
              <w:left w:type="dxa" w:w="100"/>
              <w:bottom w:type="dxa" w:w="60"/>
              <w:right w:type="dxa" w:w="100"/>
            </w:tcMar>
          </w:tcPr>
          <w:p>
            <w:pPr>
              <w:spacing w:after="0"/>
            </w:pPr>
            <w:r>
              <w:rPr>
                <w:b w:val="false"/>
                <w:bCs w:val="false"/>
                <w:color w:val="1A2331"/>
                <w:sz w:val="18"/>
                <w:szCs w:val="18"/>
              </w:rPr>
              <w:t xml:space="preserve">RBAC</w:t>
            </w:r>
          </w:p>
        </w:tc>
        <w:tc>
          <w:tcPr>
            <w:tcW w:type="dxa" w:w="2400"/>
            <w:shd w:fill="FFFFFF" w:color="auto" w:val="clear"/>
            <w:tcMar>
              <w:top w:type="dxa" w:w="60"/>
              <w:left w:type="dxa" w:w="100"/>
              <w:bottom w:type="dxa" w:w="60"/>
              <w:right w:type="dxa" w:w="100"/>
            </w:tcMar>
          </w:tcPr>
          <w:p>
            <w:pPr>
              <w:spacing w:after="0"/>
            </w:pPr>
            <w:r>
              <w:rPr>
                <w:b w:val="false"/>
                <w:bCs w:val="false"/>
                <w:color w:val="1A2331"/>
                <w:sz w:val="18"/>
                <w:szCs w:val="18"/>
              </w:rPr>
              <w:t xml:space="preserve">FR‑RBAC.1–7</w:t>
            </w:r>
          </w:p>
        </w:tc>
        <w:tc>
          <w:tcPr>
            <w:tcW w:type="dxa" w:w="4960"/>
            <w:shd w:fill="FFFFFF" w:color="auto" w:val="clear"/>
            <w:tcMar>
              <w:top w:type="dxa" w:w="60"/>
              <w:left w:type="dxa" w:w="100"/>
              <w:bottom w:type="dxa" w:w="60"/>
              <w:right w:type="dxa" w:w="100"/>
            </w:tcMar>
          </w:tcPr>
          <w:p>
            <w:pPr>
              <w:spacing w:after="0"/>
            </w:pPr>
            <w:r>
              <w:rPr>
                <w:b w:val="false"/>
                <w:bCs w:val="false"/>
                <w:color w:val="1A2331"/>
                <w:sz w:val="18"/>
                <w:szCs w:val="18"/>
              </w:rPr>
              <w:t xml:space="preserve">lib/roles.js</w:t>
            </w:r>
          </w:p>
        </w:tc>
      </w:tr>
      <w:tr>
        <w:trPr>
          <w:tblHeader w:val="false"/>
        </w:trPr>
        <w:tc>
          <w:tcPr>
            <w:tcW w:type="dxa" w:w="2000"/>
            <w:shd w:fill="FFFFFF" w:color="auto" w:val="clear"/>
            <w:tcMar>
              <w:top w:type="dxa" w:w="60"/>
              <w:left w:type="dxa" w:w="100"/>
              <w:bottom w:type="dxa" w:w="60"/>
              <w:right w:type="dxa" w:w="100"/>
            </w:tcMar>
          </w:tcPr>
          <w:p>
            <w:pPr>
              <w:spacing w:after="0"/>
            </w:pPr>
            <w:r>
              <w:rPr>
                <w:b w:val="false"/>
                <w:bCs w:val="false"/>
                <w:color w:val="1A2331"/>
                <w:sz w:val="18"/>
                <w:szCs w:val="18"/>
              </w:rPr>
              <w:t xml:space="preserve">Billing docs</w:t>
            </w:r>
          </w:p>
        </w:tc>
        <w:tc>
          <w:tcPr>
            <w:tcW w:type="dxa" w:w="24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FR‑DOC.1–9</w:t>
            </w:r>
          </w:p>
        </w:tc>
        <w:tc>
          <w:tcPr>
            <w:tcW w:type="dxa" w:w="4960"/>
            <w:shd w:fill="FFFFFF" w:color="auto" w:val="clear"/>
            <w:tcMar>
              <w:top w:type="dxa" w:w="60"/>
              <w:left w:type="dxa" w:w="100"/>
              <w:bottom w:type="dxa" w:w="60"/>
              <w:right w:type="dxa" w:w="100"/>
            </w:tcMar>
          </w:tcPr>
          <w:p>
            <w:pPr>
              <w:spacing w:after="0"/>
            </w:pPr>
            <w:r>
              <w:rPr>
                <w:b w:val="false"/>
                <w:bCs w:val="false"/>
                <w:color w:val="1A2331"/>
                <w:sz w:val="18"/>
                <w:szCs w:val="18"/>
              </w:rPr>
              <w:t xml:space="preserve">DocumentEditor/List/Preview, pricing.js, numbering.js</w:t>
            </w:r>
          </w:p>
        </w:tc>
      </w:tr>
      <w:tr>
        <w:trPr>
          <w:tblHeader w:val="false"/>
        </w:trPr>
        <w:tc>
          <w:tcPr>
            <w:tcW w:type="dxa" w:w="2000"/>
            <w:shd w:fill="FFFFFF" w:color="auto" w:val="clear"/>
            <w:tcMar>
              <w:top w:type="dxa" w:w="60"/>
              <w:left w:type="dxa" w:w="100"/>
              <w:bottom w:type="dxa" w:w="60"/>
              <w:right w:type="dxa" w:w="100"/>
            </w:tcMar>
          </w:tcPr>
          <w:p>
            <w:pPr>
              <w:spacing w:after="0"/>
            </w:pPr>
            <w:r>
              <w:rPr>
                <w:b w:val="false"/>
                <w:bCs w:val="false"/>
                <w:color w:val="1A2331"/>
                <w:sz w:val="18"/>
                <w:szCs w:val="18"/>
              </w:rPr>
              <w:t xml:space="preserve">Finance</w:t>
            </w:r>
          </w:p>
        </w:tc>
        <w:tc>
          <w:tcPr>
            <w:tcW w:type="dxa" w:w="2400"/>
            <w:shd w:fill="FFFFFF" w:color="auto" w:val="clear"/>
            <w:tcMar>
              <w:top w:type="dxa" w:w="60"/>
              <w:left w:type="dxa" w:w="100"/>
              <w:bottom w:type="dxa" w:w="60"/>
              <w:right w:type="dxa" w:w="100"/>
            </w:tcMar>
          </w:tcPr>
          <w:p>
            <w:pPr>
              <w:spacing w:after="0"/>
            </w:pPr>
            <w:r>
              <w:rPr>
                <w:b w:val="false"/>
                <w:bCs w:val="false"/>
                <w:color w:val="1A2331"/>
                <w:sz w:val="18"/>
                <w:szCs w:val="18"/>
              </w:rPr>
              <w:t xml:space="preserve">FR‑FIN.1–17</w:t>
            </w:r>
          </w:p>
        </w:tc>
        <w:tc>
          <w:tcPr>
            <w:tcW w:type="dxa" w:w="4960"/>
            <w:shd w:fill="FFFFFF" w:color="auto" w:val="clear"/>
            <w:tcMar>
              <w:top w:type="dxa" w:w="60"/>
              <w:left w:type="dxa" w:w="100"/>
              <w:bottom w:type="dxa" w:w="60"/>
              <w:right w:type="dxa" w:w="100"/>
            </w:tcMar>
          </w:tcPr>
          <w:p>
            <w:pPr>
              <w:spacing w:after="0"/>
            </w:pPr>
            <w:r>
              <w:rPr>
                <w:b w:val="false"/>
                <w:bCs w:val="false"/>
                <w:color w:val="1A2331"/>
                <w:sz w:val="18"/>
                <w:szCs w:val="18"/>
              </w:rPr>
              <w:t xml:space="preserve">FinanceContext, lib/finance.js, finance pages</w:t>
            </w:r>
          </w:p>
        </w:tc>
      </w:tr>
      <w:tr>
        <w:trPr>
          <w:tblHeader w:val="false"/>
        </w:trPr>
        <w:tc>
          <w:tcPr>
            <w:tcW w:type="dxa" w:w="2000"/>
            <w:shd w:fill="FFFFFF" w:color="auto" w:val="clear"/>
            <w:tcMar>
              <w:top w:type="dxa" w:w="60"/>
              <w:left w:type="dxa" w:w="100"/>
              <w:bottom w:type="dxa" w:w="60"/>
              <w:right w:type="dxa" w:w="100"/>
            </w:tcMar>
          </w:tcPr>
          <w:p>
            <w:pPr>
              <w:spacing w:after="0"/>
            </w:pPr>
            <w:r>
              <w:rPr>
                <w:b w:val="false"/>
                <w:bCs w:val="false"/>
                <w:color w:val="1A2331"/>
                <w:sz w:val="18"/>
                <w:szCs w:val="18"/>
              </w:rPr>
              <w:t xml:space="preserve">Approvals</w:t>
            </w:r>
          </w:p>
        </w:tc>
        <w:tc>
          <w:tcPr>
            <w:tcW w:type="dxa" w:w="24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FR‑APPR.1–8</w:t>
            </w:r>
          </w:p>
        </w:tc>
        <w:tc>
          <w:tcPr>
            <w:tcW w:type="dxa" w:w="4960"/>
            <w:shd w:fill="FFFFFF" w:color="auto" w:val="clear"/>
            <w:tcMar>
              <w:top w:type="dxa" w:w="60"/>
              <w:left w:type="dxa" w:w="100"/>
              <w:bottom w:type="dxa" w:w="60"/>
              <w:right w:type="dxa" w:w="100"/>
            </w:tcMar>
          </w:tcPr>
          <w:p>
            <w:pPr>
              <w:spacing w:after="0"/>
            </w:pPr>
            <w:r>
              <w:rPr>
                <w:b w:val="false"/>
                <w:bCs w:val="false"/>
                <w:color w:val="1A2331"/>
                <w:sz w:val="18"/>
                <w:szCs w:val="18"/>
              </w:rPr>
              <w:t xml:space="preserve">ApprovalChain, lib/finance.js, finSettings</w:t>
            </w:r>
          </w:p>
        </w:tc>
      </w:tr>
      <w:tr>
        <w:trPr>
          <w:tblHeader w:val="false"/>
        </w:trPr>
        <w:tc>
          <w:tcPr>
            <w:tcW w:type="dxa" w:w="2000"/>
            <w:shd w:fill="FFFFFF" w:color="auto" w:val="clear"/>
            <w:tcMar>
              <w:top w:type="dxa" w:w="60"/>
              <w:left w:type="dxa" w:w="100"/>
              <w:bottom w:type="dxa" w:w="60"/>
              <w:right w:type="dxa" w:w="100"/>
            </w:tcMar>
          </w:tcPr>
          <w:p>
            <w:pPr>
              <w:spacing w:after="0"/>
            </w:pPr>
            <w:r>
              <w:rPr>
                <w:b w:val="false"/>
                <w:bCs w:val="false"/>
                <w:color w:val="1A2331"/>
                <w:sz w:val="18"/>
                <w:szCs w:val="18"/>
              </w:rPr>
              <w:t xml:space="preserve">Payroll</w:t>
            </w:r>
          </w:p>
        </w:tc>
        <w:tc>
          <w:tcPr>
            <w:tcW w:type="dxa" w:w="2400"/>
            <w:shd w:fill="FFFFFF" w:color="auto" w:val="clear"/>
            <w:tcMar>
              <w:top w:type="dxa" w:w="60"/>
              <w:left w:type="dxa" w:w="100"/>
              <w:bottom w:type="dxa" w:w="60"/>
              <w:right w:type="dxa" w:w="100"/>
            </w:tcMar>
          </w:tcPr>
          <w:p>
            <w:pPr>
              <w:spacing w:after="0"/>
            </w:pPr>
            <w:r>
              <w:rPr>
                <w:b w:val="false"/>
                <w:bCs w:val="false"/>
                <w:color w:val="1A2331"/>
                <w:sz w:val="18"/>
                <w:szCs w:val="18"/>
              </w:rPr>
              <w:t xml:space="preserve">FR‑PAY.1–7</w:t>
            </w:r>
          </w:p>
        </w:tc>
        <w:tc>
          <w:tcPr>
            <w:tcW w:type="dxa" w:w="4960"/>
            <w:shd w:fill="FFFFFF" w:color="auto" w:val="clear"/>
            <w:tcMar>
              <w:top w:type="dxa" w:w="60"/>
              <w:left w:type="dxa" w:w="100"/>
              <w:bottom w:type="dxa" w:w="60"/>
              <w:right w:type="dxa" w:w="100"/>
            </w:tcMar>
          </w:tcPr>
          <w:p>
            <w:pPr>
              <w:spacing w:after="0"/>
            </w:pPr>
            <w:r>
              <w:rPr>
                <w:b w:val="false"/>
                <w:bCs w:val="false"/>
                <w:color w:val="1A2331"/>
                <w:sz w:val="18"/>
                <w:szCs w:val="18"/>
              </w:rPr>
              <w:t xml:space="preserve">lib/salary.js, salary pages</w:t>
            </w:r>
          </w:p>
        </w:tc>
      </w:tr>
      <w:tr>
        <w:trPr>
          <w:tblHeader w:val="false"/>
        </w:trPr>
        <w:tc>
          <w:tcPr>
            <w:tcW w:type="dxa" w:w="2000"/>
            <w:shd w:fill="FFFFFF" w:color="auto" w:val="clear"/>
            <w:tcMar>
              <w:top w:type="dxa" w:w="60"/>
              <w:left w:type="dxa" w:w="100"/>
              <w:bottom w:type="dxa" w:w="60"/>
              <w:right w:type="dxa" w:w="100"/>
            </w:tcMar>
          </w:tcPr>
          <w:p>
            <w:pPr>
              <w:spacing w:after="0"/>
            </w:pPr>
            <w:r>
              <w:rPr>
                <w:b w:val="false"/>
                <w:bCs w:val="false"/>
                <w:color w:val="1A2331"/>
                <w:sz w:val="18"/>
                <w:szCs w:val="18"/>
              </w:rPr>
              <w:t xml:space="preserve">Loans</w:t>
            </w:r>
          </w:p>
        </w:tc>
        <w:tc>
          <w:tcPr>
            <w:tcW w:type="dxa" w:w="2400"/>
            <w:shd w:fill="FFFFFF" w:color="auto" w:val="clear"/>
            <w:tcMar>
              <w:top w:type="dxa" w:w="60"/>
              <w:left w:type="dxa" w:w="100"/>
              <w:bottom w:type="dxa" w:w="60"/>
              <w:right w:type="dxa" w:w="100"/>
            </w:tcMar>
          </w:tcPr>
          <w:p>
            <w:pPr>
              <w:spacing w:after="0"/>
            </w:pPr>
            <w:r>
              <w:rPr>
                <w:b w:val="false"/>
                <w:bCs w:val="false"/>
                <w:color w:val="1A2331"/>
                <w:sz w:val="18"/>
                <w:szCs w:val="18"/>
              </w:rPr>
              <w:t xml:space="preserve">FR‑LOAN.1–5</w:t>
            </w:r>
          </w:p>
        </w:tc>
        <w:tc>
          <w:tcPr>
            <w:tcW w:type="dxa" w:w="4960"/>
            <w:shd w:fill="FFFFFF" w:color="auto" w:val="clear"/>
            <w:tcMar>
              <w:top w:type="dxa" w:w="60"/>
              <w:left w:type="dxa" w:w="100"/>
              <w:bottom w:type="dxa" w:w="60"/>
              <w:right w:type="dxa" w:w="100"/>
            </w:tcMar>
          </w:tcPr>
          <w:p>
            <w:pPr>
              <w:spacing w:after="0"/>
            </w:pPr>
            <w:r>
              <w:rPr>
                <w:b w:val="false"/>
                <w:bCs w:val="false"/>
                <w:color w:val="1A2331"/>
                <w:sz w:val="18"/>
                <w:szCs w:val="18"/>
              </w:rPr>
              <w:t xml:space="preserve">lib/loans.js, Loans.jsx</w:t>
            </w:r>
          </w:p>
        </w:tc>
      </w:tr>
      <w:tr>
        <w:trPr>
          <w:tblHeader w:val="false"/>
        </w:trPr>
        <w:tc>
          <w:tcPr>
            <w:tcW w:type="dxa" w:w="2000"/>
            <w:shd w:fill="FFFFFF" w:color="auto" w:val="clear"/>
            <w:tcMar>
              <w:top w:type="dxa" w:w="60"/>
              <w:left w:type="dxa" w:w="100"/>
              <w:bottom w:type="dxa" w:w="60"/>
              <w:right w:type="dxa" w:w="100"/>
            </w:tcMar>
          </w:tcPr>
          <w:p>
            <w:pPr>
              <w:spacing w:after="0"/>
            </w:pPr>
            <w:r>
              <w:rPr>
                <w:b w:val="false"/>
                <w:bCs w:val="false"/>
                <w:color w:val="1A2331"/>
                <w:sz w:val="18"/>
                <w:szCs w:val="18"/>
              </w:rPr>
              <w:t xml:space="preserve">Assets</w:t>
            </w:r>
          </w:p>
        </w:tc>
        <w:tc>
          <w:tcPr>
            <w:tcW w:type="dxa" w:w="2400"/>
            <w:shd w:fill="FFFFFF" w:color="auto" w:val="clear"/>
            <w:tcMar>
              <w:top w:type="dxa" w:w="60"/>
              <w:left w:type="dxa" w:w="100"/>
              <w:bottom w:type="dxa" w:w="60"/>
              <w:right w:type="dxa" w:w="100"/>
            </w:tcMar>
          </w:tcPr>
          <w:p>
            <w:pPr>
              <w:spacing w:after="0"/>
            </w:pPr>
            <w:r>
              <w:rPr>
                <w:b w:val="false"/>
                <w:bCs w:val="false"/>
                <w:color w:val="1A2331"/>
                <w:sz w:val="18"/>
                <w:szCs w:val="18"/>
              </w:rPr>
              <w:t xml:space="preserve">FR‑ASSET.1–6</w:t>
            </w:r>
          </w:p>
        </w:tc>
        <w:tc>
          <w:tcPr>
            <w:tcW w:type="dxa" w:w="4960"/>
            <w:shd w:fill="FFFFFF" w:color="auto" w:val="clear"/>
            <w:tcMar>
              <w:top w:type="dxa" w:w="60"/>
              <w:left w:type="dxa" w:w="100"/>
              <w:bottom w:type="dxa" w:w="60"/>
              <w:right w:type="dxa" w:w="100"/>
            </w:tcMar>
          </w:tcPr>
          <w:p>
            <w:pPr>
              <w:spacing w:after="0"/>
            </w:pPr>
            <w:r>
              <w:rPr>
                <w:b w:val="false"/>
                <w:bCs w:val="false"/>
                <w:color w:val="1A2331"/>
                <w:sz w:val="18"/>
                <w:szCs w:val="18"/>
              </w:rPr>
              <w:t xml:space="preserve">AssetContext, lib/assets.js, asset pages</w:t>
            </w:r>
          </w:p>
        </w:tc>
      </w:tr>
      <w:tr>
        <w:trPr>
          <w:tblHeader w:val="false"/>
        </w:trPr>
        <w:tc>
          <w:tcPr>
            <w:tcW w:type="dxa" w:w="2000"/>
            <w:shd w:fill="FFFFFF" w:color="auto" w:val="clear"/>
            <w:tcMar>
              <w:top w:type="dxa" w:w="60"/>
              <w:left w:type="dxa" w:w="100"/>
              <w:bottom w:type="dxa" w:w="60"/>
              <w:right w:type="dxa" w:w="100"/>
            </w:tcMar>
          </w:tcPr>
          <w:p>
            <w:pPr>
              <w:spacing w:after="0"/>
            </w:pPr>
            <w:r>
              <w:rPr>
                <w:b w:val="false"/>
                <w:bCs w:val="false"/>
                <w:color w:val="1A2331"/>
                <w:sz w:val="18"/>
                <w:szCs w:val="18"/>
              </w:rPr>
              <w:t xml:space="preserve">Reports</w:t>
            </w:r>
          </w:p>
        </w:tc>
        <w:tc>
          <w:tcPr>
            <w:tcW w:type="dxa" w:w="2400"/>
            <w:shd w:fill="FFFFFF" w:color="auto" w:val="clear"/>
            <w:tcMar>
              <w:top w:type="dxa" w:w="60"/>
              <w:left w:type="dxa" w:w="100"/>
              <w:bottom w:type="dxa" w:w="60"/>
              <w:right w:type="dxa" w:w="100"/>
            </w:tcMar>
          </w:tcPr>
          <w:p>
            <w:pPr>
              <w:spacing w:after="0"/>
            </w:pPr>
            <w:r>
              <w:rPr>
                <w:b w:val="false"/>
                <w:bCs w:val="false"/>
                <w:color w:val="1A2331"/>
                <w:sz w:val="18"/>
                <w:szCs w:val="18"/>
              </w:rPr>
              <w:t xml:space="preserve">FR‑RPT.1–5</w:t>
            </w:r>
          </w:p>
        </w:tc>
        <w:tc>
          <w:tcPr>
            <w:tcW w:type="dxa" w:w="4960"/>
            <w:shd w:fill="FFFFFF" w:color="auto" w:val="clear"/>
            <w:tcMar>
              <w:top w:type="dxa" w:w="60"/>
              <w:left w:type="dxa" w:w="100"/>
              <w:bottom w:type="dxa" w:w="60"/>
              <w:right w:type="dxa" w:w="100"/>
            </w:tcMar>
          </w:tcPr>
          <w:p>
            <w:pPr>
              <w:spacing w:after="0"/>
            </w:pPr>
            <w:r>
              <w:rPr>
                <w:b w:val="false"/>
                <w:bCs w:val="false"/>
                <w:color w:val="1A2331"/>
                <w:sz w:val="18"/>
                <w:szCs w:val="18"/>
              </w:rPr>
              <w:t xml:space="preserve">lib/reports.js, report pages</w:t>
            </w:r>
          </w:p>
        </w:tc>
      </w:tr>
      <w:tr>
        <w:trPr>
          <w:tblHeader w:val="false"/>
        </w:trPr>
        <w:tc>
          <w:tcPr>
            <w:tcW w:type="dxa" w:w="2000"/>
            <w:shd w:fill="FFFFFF" w:color="auto" w:val="clear"/>
            <w:tcMar>
              <w:top w:type="dxa" w:w="60"/>
              <w:left w:type="dxa" w:w="100"/>
              <w:bottom w:type="dxa" w:w="60"/>
              <w:right w:type="dxa" w:w="100"/>
            </w:tcMar>
          </w:tcPr>
          <w:p>
            <w:pPr>
              <w:spacing w:after="0"/>
            </w:pPr>
            <w:r>
              <w:rPr>
                <w:b w:val="false"/>
                <w:bCs w:val="false"/>
                <w:color w:val="1A2331"/>
                <w:sz w:val="18"/>
                <w:szCs w:val="18"/>
              </w:rPr>
              <w:t xml:space="preserve">Settings</w:t>
            </w:r>
          </w:p>
        </w:tc>
        <w:tc>
          <w:tcPr>
            <w:tcW w:type="dxa" w:w="2400"/>
            <w:shd w:fill="FFFFFF" w:color="auto" w:val="clear"/>
            <w:tcMar>
              <w:top w:type="dxa" w:w="60"/>
              <w:left w:type="dxa" w:w="100"/>
              <w:bottom w:type="dxa" w:w="60"/>
              <w:right w:type="dxa" w:w="100"/>
            </w:tcMar>
          </w:tcPr>
          <w:p>
            <w:pPr>
              <w:spacing w:after="0"/>
            </w:pPr>
            <w:r>
              <w:rPr>
                <w:b w:val="false"/>
                <w:bCs w:val="false"/>
                <w:color w:val="1A2331"/>
                <w:sz w:val="18"/>
                <w:szCs w:val="18"/>
              </w:rPr>
              <w:t xml:space="preserve">FR‑SET.1–10</w:t>
            </w:r>
          </w:p>
        </w:tc>
        <w:tc>
          <w:tcPr>
            <w:tcW w:type="dxa" w:w="4960"/>
            <w:shd w:fill="FFFFFF" w:color="auto" w:val="clear"/>
            <w:tcMar>
              <w:top w:type="dxa" w:w="60"/>
              <w:left w:type="dxa" w:w="100"/>
              <w:bottom w:type="dxa" w:w="60"/>
              <w:right w:type="dxa" w:w="100"/>
            </w:tcMar>
          </w:tcPr>
          <w:p>
            <w:pPr>
              <w:spacing w:after="0"/>
            </w:pPr>
            <w:r>
              <w:rPr>
                <w:b w:val="false"/>
                <w:bCs w:val="false"/>
                <w:color w:val="1A2331"/>
                <w:sz w:val="18"/>
                <w:szCs w:val="18"/>
              </w:rPr>
              <w:t xml:space="preserve">pages/settings/*, AppLayout.jsx</w:t>
            </w:r>
          </w:p>
        </w:tc>
      </w:tr>
      <w:tr>
        <w:trPr>
          <w:tblHeader w:val="false"/>
        </w:trPr>
        <w:tc>
          <w:tcPr>
            <w:tcW w:type="dxa" w:w="2000"/>
            <w:shd w:fill="FFFFFF" w:color="auto" w:val="clear"/>
            <w:tcMar>
              <w:top w:type="dxa" w:w="60"/>
              <w:left w:type="dxa" w:w="100"/>
              <w:bottom w:type="dxa" w:w="60"/>
              <w:right w:type="dxa" w:w="100"/>
            </w:tcMar>
          </w:tcPr>
          <w:p>
            <w:pPr>
              <w:spacing w:after="0"/>
            </w:pPr>
            <w:r>
              <w:rPr>
                <w:b w:val="false"/>
                <w:bCs w:val="false"/>
                <w:color w:val="1A2331"/>
                <w:sz w:val="18"/>
                <w:szCs w:val="18"/>
              </w:rPr>
              <w:t xml:space="preserve">Data &amp; safety</w:t>
            </w:r>
          </w:p>
        </w:tc>
        <w:tc>
          <w:tcPr>
            <w:tcW w:type="dxa" w:w="2400"/>
            <w:shd w:fill="FFFFFF" w:color="auto" w:val="clear"/>
            <w:tcMar>
              <w:top w:type="dxa" w:w="60"/>
              <w:left w:type="dxa" w:w="100"/>
              <w:bottom w:type="dxa" w:w="60"/>
              <w:right w:type="dxa" w:w="100"/>
            </w:tcMar>
          </w:tcPr>
          <w:p>
            <w:pPr>
              <w:spacing w:after="0"/>
            </w:pPr>
            <w:r>
              <w:rPr>
                <w:b w:val="false"/>
                <w:bCs w:val="false"/>
                <w:color w:val="1A2331"/>
                <w:sz w:val="18"/>
                <w:szCs w:val="18"/>
              </w:rPr>
              <w:t xml:space="preserve">FR‑DATA.1–6</w:t>
            </w:r>
          </w:p>
        </w:tc>
        <w:tc>
          <w:tcPr>
            <w:tcW w:type="dxa" w:w="4960"/>
            <w:shd w:fill="FFFFFF" w:color="auto" w:val="clear"/>
            <w:tcMar>
              <w:top w:type="dxa" w:w="60"/>
              <w:left w:type="dxa" w:w="100"/>
              <w:bottom w:type="dxa" w:w="60"/>
              <w:right w:type="dxa" w:w="100"/>
            </w:tcMar>
          </w:tcPr>
          <w:p>
            <w:pPr>
              <w:spacing w:after="0"/>
            </w:pPr>
            <w:r>
              <w:rPr>
                <w:b w:val="false"/>
                <w:bCs w:val="false"/>
                <w:color w:val="1A2331"/>
                <w:sz w:val="18"/>
                <w:szCs w:val="18"/>
              </w:rPr>
              <w:t xml:space="preserve">lib/storage.js, attachments.js, RecycleBin, AuditLog</w:t>
            </w:r>
          </w:p>
        </w:tc>
      </w:tr>
      <w:tr>
        <w:trPr>
          <w:tblHeader w:val="false"/>
        </w:trPr>
        <w:tc>
          <w:tcPr>
            <w:tcW w:type="dxa" w:w="2000"/>
            <w:shd w:fill="FFFFFF" w:color="auto" w:val="clear"/>
            <w:tcMar>
              <w:top w:type="dxa" w:w="60"/>
              <w:left w:type="dxa" w:w="100"/>
              <w:bottom w:type="dxa" w:w="60"/>
              <w:right w:type="dxa" w:w="100"/>
            </w:tcMar>
          </w:tcPr>
          <w:p>
            <w:pPr>
              <w:spacing w:after="0"/>
            </w:pPr>
            <w:r>
              <w:rPr>
                <w:b w:val="false"/>
                <w:bCs w:val="false"/>
                <w:color w:val="1A2331"/>
                <w:sz w:val="18"/>
                <w:szCs w:val="18"/>
              </w:rPr>
              <w:t xml:space="preserve">Search &amp; nav</w:t>
            </w:r>
          </w:p>
        </w:tc>
        <w:tc>
          <w:tcPr>
            <w:tcW w:type="dxa" w:w="2400"/>
            <w:shd w:fill="FFFFFF" w:color="auto" w:val="clear"/>
            <w:tcMar>
              <w:top w:type="dxa" w:w="60"/>
              <w:left w:type="dxa" w:w="100"/>
              <w:bottom w:type="dxa" w:w="60"/>
              <w:right w:type="dxa" w:w="100"/>
            </w:tcMar>
          </w:tcPr>
          <w:p>
            <w:pPr>
              <w:spacing w:after="0"/>
            </w:pPr>
            <w:r>
              <w:rPr>
                <w:b w:val="false"/>
                <w:bCs w:val="false"/>
                <w:color w:val="1A2331"/>
                <w:sz w:val="18"/>
                <w:szCs w:val="18"/>
              </w:rPr>
              <w:t xml:space="preserve">FR‑NAV.1–3</w:t>
            </w:r>
          </w:p>
        </w:tc>
        <w:tc>
          <w:tcPr>
            <w:tcW w:type="dxa" w:w="4960"/>
            <w:shd w:fill="FFFFFF" w:color="auto" w:val="clear"/>
            <w:tcMar>
              <w:top w:type="dxa" w:w="60"/>
              <w:left w:type="dxa" w:w="100"/>
              <w:bottom w:type="dxa" w:w="60"/>
              <w:right w:type="dxa" w:w="100"/>
            </w:tcMar>
          </w:tcPr>
          <w:p>
            <w:pPr>
              <w:spacing w:after="0"/>
            </w:pPr>
            <w:r>
              <w:rPr>
                <w:b w:val="false"/>
                <w:bCs w:val="false"/>
                <w:color w:val="1A2331"/>
                <w:sz w:val="18"/>
                <w:szCs w:val="18"/>
              </w:rPr>
              <w:t xml:space="preserve">AppLayout.jsx</w:t>
            </w:r>
          </w:p>
        </w:tc>
      </w:tr>
    </w:tbl>
    <w:p>
      <w:pPr>
        <w:spacing w:after="60"/>
      </w:pPr>
    </w:p>
    <w:p>
      <w:pPr>
        <w:pStyle w:val="Heading1"/>
        <w:spacing w:after="90" w:before="220"/>
      </w:pPr>
      <w:r>
        <w:t xml:space="preserve">Appendix A — Change control</w:t>
      </w:r>
    </w:p>
    <w:p>
      <w:pPr>
        <w:spacing w:after="90"/>
      </w:pPr>
      <w:r>
        <w:t xml:space="preserve">This SRS reflects product version 6.0.0. Material feature changes should bump the product version and be reflected here and in the User Manual. The README records the phased build history (Phases A–J plus billing, assets, and UI/branding passes).</w:t>
      </w:r>
    </w:p>
    <w:p>
      <w:pPr>
        <w:pStyle w:val="Heading1"/>
        <w:spacing w:after="90" w:before="220"/>
      </w:pPr>
      <w:r>
        <w:t xml:space="preserve">Appendix B — Known scope boundaries</w:t>
      </w:r>
    </w:p>
    <w:p>
      <w:pPr>
        <w:spacing w:after="90"/>
      </w:pPr>
      <w:r>
        <w:t xml:space="preserve">No server‑side auth, no real‑time multi‑user sync, no online payment gateway, no statutory e‑filing. These are intentional given the client‑only, single‑installation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1"/>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E3A5F"/>
      <w:sz w:val="30"/>
      <w:szCs w:val="30"/>
    </w:rPr>
  </w:style>
  <w:style w:type="paragraph" w:styleId="Heading2">
    <w:name w:val="Heading 2"/>
    <w:basedOn w:val="Normal"/>
    <w:next w:val="Normal"/>
    <w:qFormat/>
    <w:pPr>
      <w:spacing w:after="80" w:before="200"/>
      <w:outlineLvl w:val="1"/>
    </w:pPr>
    <w:rPr>
      <w:b/>
      <w:bCs/>
      <w:color w:val="A978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Paynox — Software Requirements Specification</dc:title>
  <dc:creator>DreamCore Studio</dc:creator>
  <dc:description>As-built SRS for the Paynox billing &amp; finance system</dc:description>
  <cp:lastModifiedBy>Un-named</cp:lastModifiedBy>
  <cp:revision>1</cp:revision>
  <dcterms:created xsi:type="dcterms:W3CDTF">2026-07-23T13:42:48.733Z</dcterms:created>
  <dcterms:modified xsi:type="dcterms:W3CDTF">2026-07-23T13:42:48.749Z</dcterms:modified>
</cp:coreProperties>
</file>

<file path=docProps/custom.xml><?xml version="1.0" encoding="utf-8"?>
<Properties xmlns="http://schemas.openxmlformats.org/officeDocument/2006/custom-properties" xmlns:vt="http://schemas.openxmlformats.org/officeDocument/2006/docPropsVTypes"/>
</file>