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Best District-Industry Investment Opportunities (BDIIO)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Executive Brief — Top 5 Industries for Each of Bangladesh's 64 Districts</w:t>
      </w:r>
    </w:p>
    <w:p>
      <w:pPr>
        <w:spacing w:after="80"/>
      </w:pPr>
      <w:r>
        <w:rPr>
          <w:b/>
          <w:bCs/>
          <w:color w:val="1F3864"/>
          <w:sz w:val="22"/>
          <w:szCs w:val="22"/>
        </w:rPr>
        <w:t xml:space="preserve">Bottom Line</w:t>
      </w:r>
    </w:p>
    <w:p>
      <w:pPr>
        <w:spacing w:after="100"/>
        <w:jc w:val="both"/>
      </w:pPr>
      <w:r>
        <w:rPr>
          <w:sz w:val="18"/>
          <w:szCs w:val="18"/>
        </w:rPr>
        <w:t xml:space="preserve">This companion to the BDIAI district-ranking report answers a different question: once a district is chosen, what should actually be built there. Every recommendation combines documented local resource fit, the district's own BDIAI infrastructure/momentum scores, and Bangladesh's official BIDA national industry priorities (19-sector FDI Heatmap, Jan 2025), with named risk factors subtracted where specifically documented. RMG dominates the established Dhaka-Chattogram corridor; Agro-Processing is the most common national #1 recommendation; and resource clusters are sharply visible — shrimp in Khulna/Bagerhat/Satkhira, tea in Sylhet division, major new energy infrastructure in Pabna/Patuakhali/Cox's Bazar/Dinajpur/Rangamati.</w:t>
      </w:r>
    </w:p>
    <w:p>
      <w:pPr>
        <w:spacing w:after="80" w:before="120"/>
      </w:pPr>
      <w:r>
        <w:rPr>
          <w:b/>
          <w:bCs/>
          <w:color w:val="375623"/>
          <w:sz w:val="22"/>
          <w:szCs w:val="22"/>
        </w:rPr>
        <w:t xml:space="preserve">Top 10 Opportunities Nationally</w:t>
      </w:r>
    </w:p>
    <w:tbl>
      <w:tblPr>
        <w:tblW w:type="dxa" w:w="6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District</w:t>
            </w:r>
          </w:p>
        </w:tc>
        <w:tc>
          <w:tcPr>
            <w:tcW w:type="dxa" w:w="32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Industry</w:t>
            </w:r>
          </w:p>
        </w:tc>
        <w:tc>
          <w:tcPr>
            <w:tcW w:type="dxa" w:w="800"/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Chattogram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Apparel / RMG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86.3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Feni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Apparel / RMG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86.3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Dhaka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Apparel / RMG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85.8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Gazipur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Apparel / RMG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85.8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Chattogram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Logistics &amp; Port-Linked Services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82.3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Dhaka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Pharmaceuticals (without API)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81.8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Gazipur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Advanced Textiles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81.8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Cox's Bazar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Renewable / Power Generation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81.8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Jashore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IT-Enabled Services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81.3</w:t>
            </w:r>
          </w:p>
        </w:tc>
      </w:tr>
      <w:tr>
        <w:tc>
          <w:tcPr>
            <w:tcW w:type="dxa" w:w="5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6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7"/>
                <w:szCs w:val="17"/>
              </w:rPr>
              <w:t xml:space="preserve">Narayanganj</w:t>
            </w:r>
          </w:p>
        </w:tc>
        <w:tc>
          <w:tcPr>
            <w:tcW w:type="dxa" w:w="32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Core Apparel / RMG</w:t>
            </w:r>
          </w:p>
        </w:tc>
        <w:tc>
          <w:tcPr>
            <w:tcW w:type="dxa" w:w="800"/>
            <w:shd w:fill="E2EFD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79.8</w:t>
            </w:r>
          </w:p>
        </w:tc>
      </w:tr>
    </w:tbl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Key Cluster Themes</w:t>
      </w:r>
    </w:p>
    <w:p>
      <w:pPr>
        <w:spacing w:after="100"/>
        <w:jc w:val="both"/>
      </w:pPr>
      <w:r>
        <w:rPr>
          <w:sz w:val="18"/>
          <w:szCs w:val="18"/>
        </w:rPr>
        <w:t xml:space="preserve">Aquaculture cluster: Khulna, Bagerhat, Satkhira together hold the large majority of national shrimp culture area — treat as one regional opportunity. Tea cluster: Sylhet division produces 70%+ of national tea, centered on Moulvibazar ($818M in committed EZ investment). Energy cluster: Pabna (nuclear), Patuakhali &amp; Cox's Bazar (Payra/Matarbari coal-LNG), Dinajpur (coal), Rangamati (hydro) — genuinely major, often globally-notable power infrastructure investable in its own right.</w:t>
      </w:r>
    </w:p>
    <w:p>
      <w:pPr>
        <w:spacing w:after="80" w:before="200"/>
      </w:pPr>
      <w:r>
        <w:rPr>
          <w:b/>
          <w:bCs/>
          <w:color w:val="8B0000"/>
          <w:sz w:val="22"/>
          <w:szCs w:val="22"/>
        </w:rPr>
        <w:t xml:space="preserve">Flagged Risk</w:t>
      </w:r>
    </w:p>
    <w:p>
      <w:pPr>
        <w:spacing w:after="100"/>
        <w:jc w:val="both"/>
      </w:pPr>
      <w:r>
        <w:rPr>
          <w:sz w:val="18"/>
          <w:szCs w:val="18"/>
        </w:rPr>
        <w:t xml:space="preserve">Jamalpur's RMG Economic Zone has 22 signed tenant companies — real demand — but The Daily Star (Nov 2025) reports its lone active factory is crippled by a persistent power shortage deterring the rest. A narrow, specific, plausibly fast-to-fix blocker, not a demand problem.</w:t>
      </w:r>
    </w:p>
    <w:p>
      <w:pPr>
        <w:spacing w:before="160"/>
      </w:pPr>
      <w:r>
        <w:rPr>
          <w:b/>
          <w:bCs/>
          <w:color w:val="595959"/>
          <w:sz w:val="17"/>
          <w:szCs w:val="17"/>
        </w:rPr>
        <w:t xml:space="preserve">A methodology note worth raising in the room: </w:t>
      </w:r>
      <w:r>
        <w:rPr>
          <w:i/>
          <w:iCs/>
          <w:color w:val="595959"/>
          <w:sz w:val="17"/>
          <w:szCs w:val="17"/>
        </w:rPr>
        <w:t xml:space="preserve">in 19 of 64 districts, the #1 industry has a slightly lower raw resource fit than #2, because a nationally-prioritized sector's BIDA bonus narrowly edges out a hyper-local specialty (e.g., Cox's Bazar: Renewable Energy narrowly ahead of Tourism). Both signals are shown in the full report and workbook — this is a disclosed strategic trade-off, not a modeling error. Full methodology, all 320 scored pairs, and a formula-driven workbook are in the companion 21-page report and Excel file.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2"/>
        <w:szCs w:val="12"/>
      </w:rPr>
      <w:t xml:space="preserve">Ahmed Safwan Sajid — © 2026 Ahmed Safwan Sajid. All Rights Reserved. Intellectual Property of the Author.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umentProtection w:edit="readOnly" w:enforcement="1" w:cryptProviderType="rsaAES" w:cryptAlgorithmClass="hash" w:cryptAlgorithmType="typeAny" w:cryptAlgorithmSid="4" w:cryptSpinCount="100000" w:hash="que9Lobi2NNquRDf1rqdeCmhqeQ=" w:salt="KcnAFjtxgsU2Yremq1qDFQ==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BDIIO Executive Brief</dc:title>
  <dc:creator>Ahmed Safwan Sajid</dc:creator>
  <dc:description>© 2026 Ahmed Safwan Sajid. All Rights Reserved. Intellectual Property of the Author.</dc:description>
  <cp:lastModifiedBy>Un-named</cp:lastModifiedBy>
  <cp:revision>1</cp:revision>
  <dcterms:created xsi:type="dcterms:W3CDTF">2026-08-08T12:33:01.272Z</dcterms:created>
  <dcterms:modified xsi:type="dcterms:W3CDTF">2026-08-08T12:33:01.313Z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