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6E68"/>
          <w:sz w:val="26"/>
        </w:rPr>
        <w:t>ОТЧЁТ</w:t>
        <w:br/>
      </w:r>
    </w:p>
    <w:p>
      <w:pPr>
        <w:pStyle w:val="Title"/>
        <w:jc w:val="center"/>
      </w:pPr>
      <w:r>
        <w:t>Разработка учебного приложения</w:t>
        <w:br/>
        <w:t>«МебельМаркет»</w:t>
      </w:r>
    </w:p>
    <w:p>
      <w:pPr>
        <w:jc w:val="center"/>
      </w:pPr>
      <w:r>
        <w:t>Реляционная база данных Microsoft Access · приложение Python / Tkinter</w:t>
      </w:r>
    </w:p>
    <w:p>
      <w:pPr>
        <w:pStyle w:val="Subtitle"/>
        <w:jc w:val="center"/>
      </w:pPr>
      <w:r>
        <w:br/>
        <w:t>Проектный отчёт и описание реализации</w:t>
      </w:r>
    </w:p>
    <w:p>
      <w:pPr>
        <w:jc w:val="center"/>
      </w:pPr>
      <w:r>
        <w:br/>
        <w:t>Исходные приложения экзамена в комплекте отсутствуют. Сведения, визуальный стиль и набор товаров в демонстрационной базе являются условными.</w:t>
      </w:r>
    </w:p>
    <w:p>
      <w:r>
        <w:br w:type="page"/>
      </w:r>
    </w:p>
    <w:p>
      <w:pPr>
        <w:pStyle w:val="Heading1"/>
      </w:pPr>
      <w:r>
        <w:t>1. Назначение и границы проекта</w:t>
      </w:r>
    </w:p>
    <w:p>
      <w:r>
        <w:t>Цель — подготовить минимально необходимую нормализованную структуру базы мебельного магазина на Access, нативный стандартный модуль DAO/VBA для создания объектов и простое Python-приложение для работы с каталогом, остатками и заказами. Интерфейс Tkinter запускается в Windows и взаимодействует с .accdb через pyodbc и Microsoft Access ODBC Driver.</w:t>
      </w:r>
    </w:p>
    <w:p>
      <w:r>
        <w:t>Фотографии основных условий сохранены в папке `Фото_условия` и использованы для требований к ролям, карточке товара и алгоритму. Отдельные приложения `Прил_1_ОЗ_КОД 09.02.07-2-2026-М1.docx`, `Прил_2_ОЗ_КОД 09.02.07-2-2026-М1.rar` и `Прил_3_ОЗ_КОД 09.02.07-2-2026-М2.docx` не предоставлены: поэтому тестовые записи, логотип, заглушка и оформление за пределами прямых правил условия являются условными. Полный текст отдельного пункта 7 из запроса на подготовку комплекта не поступил.</w:t>
      </w:r>
    </w:p>
    <w:p>
      <w:pPr>
        <w:pStyle w:val="Heading1"/>
      </w:pPr>
      <w:r>
        <w:t>2. Функциональные требования</w:t>
      </w:r>
    </w:p>
    <w:p>
      <w:pPr>
        <w:pStyle w:val="ListBullet"/>
      </w:pPr>
      <w:r>
        <w:t>первое окно — вход с логином/паролем из БД либо переход к гостевому каталогу; выход из учётной записи возвращает к окну входа, в шапке отображается ФИО;</w:t>
      </w:r>
    </w:p>
    <w:p>
      <w:pPr>
        <w:pStyle w:val="ListBullet"/>
      </w:pPr>
      <w:r>
        <w:t>гость и авторизованный клиент просматривают товары без фильтрации, сортировки и поиска; менеджер и администратор получают поиск и сортировку; менеджер просматривает заказы;</w:t>
      </w:r>
    </w:p>
    <w:p>
      <w:pPr>
        <w:pStyle w:val="ListBullet"/>
      </w:pPr>
      <w:r>
        <w:t>администратор может добавлять, редактировать и удалять товары и заказы;</w:t>
      </w:r>
    </w:p>
    <w:p>
      <w:pPr>
        <w:pStyle w:val="ListBullet"/>
      </w:pPr>
      <w:r>
        <w:t>карточка показывает фото/заглушку, категорию, название, описание, производителя, поставщика, цену, единицу, остатки по складам и скидку;</w:t>
      </w:r>
    </w:p>
    <w:p>
      <w:pPr>
        <w:pStyle w:val="ListBullet"/>
      </w:pPr>
      <w:r>
        <w:t>скидка строго больше 15% выделяется фоном #008080; товар без остатка — серым фоном; прежняя цена зачёркнута и красная, цена со скидкой указана рядом;</w:t>
      </w:r>
    </w:p>
    <w:p>
      <w:pPr>
        <w:pStyle w:val="ListBullet"/>
      </w:pPr>
      <w:r>
        <w:t>дополнительно: корзина клиента, проверка наличия на складе, заказ, история заказов и транзакционное уменьшение остатков.</w:t>
      </w:r>
    </w:p>
    <w:p>
      <w:pPr>
        <w:pStyle w:val="Heading1"/>
      </w:pPr>
      <w:r>
        <w:t>3. Состав и модель данных</w:t>
      </w:r>
    </w:p>
    <w:p>
      <w:r>
        <w:t>БД включает 11 таблиц. Справочники вынесены отдельно, а отношения многие-ко-многим между заказами и товарами реализованы через СоставЗаказа. Остатки отражаются отдельно для каждой пары товар–склад.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087F78"/>
          </w:tcPr>
          <w:p>
            <w:r>
              <w:rPr>
                <w:b/>
                <w:color w:val="FFFFFF"/>
              </w:rPr>
              <w:t>Таблица</w:t>
            </w:r>
          </w:p>
        </w:tc>
        <w:tc>
          <w:tcPr>
            <w:tcW w:type="dxa" w:w="4816"/>
            <w:shd w:fill="087F78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4816"/>
            <w:vAlign w:val="center"/>
          </w:tcPr>
          <w:p>
            <w:r>
              <w:t>Роли</w:t>
            </w:r>
          </w:p>
        </w:tc>
        <w:tc>
          <w:tcPr>
            <w:tcW w:type="dxa" w:w="4816"/>
            <w:vAlign w:val="center"/>
          </w:tcPr>
          <w:p>
            <w:r>
              <w:t>Роли доступа.</w:t>
            </w:r>
          </w:p>
        </w:tc>
      </w:tr>
      <w:tr>
        <w:tc>
          <w:tcPr>
            <w:tcW w:type="dxa" w:w="4816"/>
            <w:vAlign w:val="center"/>
          </w:tcPr>
          <w:p>
            <w:r>
              <w:t>Пользователи</w:t>
            </w:r>
          </w:p>
        </w:tc>
        <w:tc>
          <w:tcPr>
            <w:tcW w:type="dxa" w:w="4816"/>
            <w:vAlign w:val="center"/>
          </w:tcPr>
          <w:p>
            <w:r>
              <w:t>Учётные записи, роль и связь с профилем покупателя.</w:t>
            </w:r>
          </w:p>
        </w:tc>
      </w:tr>
      <w:tr>
        <w:tc>
          <w:tcPr>
            <w:tcW w:type="dxa" w:w="4816"/>
            <w:vAlign w:val="center"/>
          </w:tcPr>
          <w:p>
            <w:r>
              <w:t>Категории</w:t>
            </w:r>
          </w:p>
        </w:tc>
        <w:tc>
          <w:tcPr>
            <w:tcW w:type="dxa" w:w="4816"/>
            <w:vAlign w:val="center"/>
          </w:tcPr>
          <w:p>
            <w:r>
              <w:t>Классификация каталога.</w:t>
            </w:r>
          </w:p>
        </w:tc>
      </w:tr>
      <w:tr>
        <w:tc>
          <w:tcPr>
            <w:tcW w:type="dxa" w:w="4816"/>
            <w:vAlign w:val="center"/>
          </w:tcPr>
          <w:p>
            <w:r>
              <w:t>Производители</w:t>
            </w:r>
          </w:p>
        </w:tc>
        <w:tc>
          <w:tcPr>
            <w:tcW w:type="dxa" w:w="4816"/>
            <w:vAlign w:val="center"/>
          </w:tcPr>
          <w:p>
            <w:r>
              <w:t>Справочник изготовителей.</w:t>
            </w:r>
          </w:p>
        </w:tc>
      </w:tr>
      <w:tr>
        <w:tc>
          <w:tcPr>
            <w:tcW w:type="dxa" w:w="4816"/>
            <w:vAlign w:val="center"/>
          </w:tcPr>
          <w:p>
            <w:r>
              <w:t>Поставщики</w:t>
            </w:r>
          </w:p>
        </w:tc>
        <w:tc>
          <w:tcPr>
            <w:tcW w:type="dxa" w:w="4816"/>
            <w:vAlign w:val="center"/>
          </w:tcPr>
          <w:p>
            <w:r>
              <w:t>Справочник поставщиков.</w:t>
            </w:r>
          </w:p>
        </w:tc>
      </w:tr>
      <w:tr>
        <w:tc>
          <w:tcPr>
            <w:tcW w:type="dxa" w:w="4816"/>
            <w:vAlign w:val="center"/>
          </w:tcPr>
          <w:p>
            <w:r>
              <w:t>Склады</w:t>
            </w:r>
          </w:p>
        </w:tc>
        <w:tc>
          <w:tcPr>
            <w:tcW w:type="dxa" w:w="4816"/>
            <w:vAlign w:val="center"/>
          </w:tcPr>
          <w:p>
            <w:r>
              <w:t>Места хранения и адреса.</w:t>
            </w:r>
          </w:p>
        </w:tc>
      </w:tr>
      <w:tr>
        <w:tc>
          <w:tcPr>
            <w:tcW w:type="dxa" w:w="4816"/>
            <w:vAlign w:val="center"/>
          </w:tcPr>
          <w:p>
            <w:r>
              <w:t>Товары</w:t>
            </w:r>
          </w:p>
        </w:tc>
        <w:tc>
          <w:tcPr>
            <w:tcW w:type="dxa" w:w="4816"/>
            <w:vAlign w:val="center"/>
          </w:tcPr>
          <w:p>
            <w:r>
              <w:t>Артикул, наименование, цена, скидка и внешние ключи справочников.</w:t>
            </w:r>
          </w:p>
        </w:tc>
      </w:tr>
      <w:tr>
        <w:tc>
          <w:tcPr>
            <w:tcW w:type="dxa" w:w="4816"/>
            <w:vAlign w:val="center"/>
          </w:tcPr>
          <w:p>
            <w:r>
              <w:t>Остатки</w:t>
            </w:r>
          </w:p>
        </w:tc>
        <w:tc>
          <w:tcPr>
            <w:tcW w:type="dxa" w:w="4816"/>
            <w:vAlign w:val="center"/>
          </w:tcPr>
          <w:p>
            <w:r>
              <w:t>Количество каждого товара в каждом складе.</w:t>
            </w:r>
          </w:p>
        </w:tc>
      </w:tr>
      <w:tr>
        <w:tc>
          <w:tcPr>
            <w:tcW w:type="dxa" w:w="4816"/>
            <w:vAlign w:val="center"/>
          </w:tcPr>
          <w:p>
            <w:r>
              <w:t>Покупатели</w:t>
            </w:r>
          </w:p>
        </w:tc>
        <w:tc>
          <w:tcPr>
            <w:tcW w:type="dxa" w:w="4816"/>
            <w:vAlign w:val="center"/>
          </w:tcPr>
          <w:p>
            <w:r>
              <w:t>ФИО и контактные данные.</w:t>
            </w:r>
          </w:p>
        </w:tc>
      </w:tr>
      <w:tr>
        <w:tc>
          <w:tcPr>
            <w:tcW w:type="dxa" w:w="4816"/>
            <w:vAlign w:val="center"/>
          </w:tcPr>
          <w:p>
            <w:r>
              <w:t>Заказы</w:t>
            </w:r>
          </w:p>
        </w:tc>
        <w:tc>
          <w:tcPr>
            <w:tcW w:type="dxa" w:w="4816"/>
            <w:vAlign w:val="center"/>
          </w:tcPr>
          <w:p>
            <w:r>
              <w:t>Покупатель, склад, даты, код и состояние.</w:t>
            </w:r>
          </w:p>
        </w:tc>
      </w:tr>
      <w:tr>
        <w:tc>
          <w:tcPr>
            <w:tcW w:type="dxa" w:w="4816"/>
            <w:vAlign w:val="center"/>
          </w:tcPr>
          <w:p>
            <w:r>
              <w:t>СоставЗаказа</w:t>
            </w:r>
          </w:p>
        </w:tc>
        <w:tc>
          <w:tcPr>
            <w:tcW w:type="dxa" w:w="4816"/>
            <w:vAlign w:val="center"/>
          </w:tcPr>
          <w:p>
            <w:r>
              <w:t>Товары, количество и зафиксированная цена на момент продажи.</w:t>
            </w:r>
          </w:p>
        </w:tc>
      </w:tr>
    </w:tbl>
    <w:p>
      <w:r>
        <w:t>Ключевые ограничения: уникальность логинов и артикулов; уникальные названия справочников; составные первичные ключи в Остатках и СоставЗаказа; неотрицательные цена/остаток; скидка 0–100%; положительное количество заказа; внешние ключи.</w:t>
      </w:r>
    </w:p>
    <w:p>
      <w:pPr>
        <w:pStyle w:val="Heading1"/>
      </w:pPr>
      <w:r>
        <w:t>4. Диаграмма сущностей и связей</w:t>
      </w:r>
    </w:p>
    <w:p>
      <w:r>
        <w:t>Схема фиксирует отношения справочников, покупателей, складских остатков и строк заказов. PK обозначает первичный ключ, FK — внешний ключ.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_связей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Реализация и запуск</w:t>
      </w:r>
    </w:p>
    <w:p>
      <w:r>
        <w:t>Структуру базы создаёт импортируемый стандартный модуль Access VBA `Модуль_создания_БД.bas` с процедурой `BuildFurnitureDatabase`. Он создаёт таблицы, индексы, проверки, DAO-связи и четыре сохранённых запроса. Пользователь создаёт пустой .accdb, импортирует BAS и запускает макрос в Microsoft Access.</w:t>
      </w:r>
    </w:p>
    <w:p>
      <w:r>
        <w:t>Python-приложение запускается из `Приложение/main.py` и разделено на модули пакета `mebelmarket`: app.py собирает главное окно, authmixin.py отвечает за вход и роли, catalogmixin.py — за карточки и каталог, ordersmixin.py — за корзину и заказы, database.py — за ODBC, security.py — за пароли, config.py — за настройки. Подробная карта разбиения приведена в `Дополнительно/Структура_модулей_Python.md`. Импортёр демонстрационных данных — `Приложение/ЗаполнитьБД.py`; Excel формируется `БД/СоздатьДемоДанные.py`. Две инструкции описывают запуск в PyCharm и VS Code. Блок-схема алгоритма подготовлена в PDF по обозначениям ГОСТ 19.701-90. Бинарный .accdb не включён: он создаётся локально в Access.</w:t>
      </w:r>
    </w:p>
    <w:p>
      <w:pPr>
        <w:pStyle w:val="Heading1"/>
      </w:pPr>
      <w:r>
        <w:t>6. Проверки и ограничения</w:t>
      </w:r>
    </w:p>
    <w:p>
      <w:r>
        <w:t>В среде подготовки выполнена синтаксическая компиляция Python-файлов (`py_compile`), сформирован файл условных данных Excel. Среда не содержит Windows, Microsoft Access, Access ODBC Driver и полноценно проверяемого Tk GUI. Поэтому проверка выполнения VBA, создания реальной .accdb, ODBC-запросов и пользовательских сценариев на Access не проведена.</w:t>
      </w:r>
    </w:p>
    <w:p>
      <w:r>
        <w:t>Перед демонстрацией требуется проверить модуль на целевой версии Access, создать новую базу, выполнить импорт и пройти роли по условию: гость, клиент, менеджер, администратор; проверить показ карточек, подсветку, поиск/сортировку сотрудника и CRUD администратора. Отдельно можно проверить дополнительный сценарий заказа и списания остатка. При несовместимости конкретной версии ACE/DAO может потребоваться корректировка SQL и повторный тест.</w:t>
      </w:r>
    </w:p>
    <w:p>
      <w:r>
        <w:t>SHA-256 в учебном примере не заменяет промышленное хранение паролей. Для настоящего сервиса нужны соль, медленный алгоритм хеширования, серверная БД, авторизация на сервере и аудит доступа.</w:t>
      </w:r>
    </w:p>
    <w:p>
      <w:pPr>
        <w:pStyle w:val="Heading1"/>
      </w:pPr>
      <w:r>
        <w:t>7. Содержание поставки</w:t>
      </w:r>
    </w:p>
    <w:p>
      <w:r>
        <w:t>Структура проекта и полный список материалов описаны в `Дополнительно/Руководство.md`. Краткий план демонстрации и ответы по модели данных находятся в `Шпаргалка_экзамен.md`. Скрипты диаграмм и документов находятся в `Дополнительно/tools/`.</w:t>
      </w:r>
    </w:p>
    <w:p>
      <w:r>
        <w:t>Официальные приложения задания, подлинные скриншоты и подтверждение запуска на Windows не добавлены и не имитируются.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36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7F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4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87F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