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МИНИСТЕРСТВО ПРОСВЕЩЕНИЯ</w:t>
        <w:br/>
        <w:t>РЕСПУБЛИКИ БАШКОРТОСТАН</w:t>
      </w:r>
    </w:p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________________________________________</w:t>
        <w:br/>
        <w:t>(наименование образовательной организации)</w:t>
      </w:r>
    </w:p>
    <w:p>
      <w:pPr>
        <w:keepNext w:val="0"/>
        <w:spacing w:before="0" w:after="4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Отделение ______________________________</w:t>
      </w:r>
    </w:p>
    <w:p>
      <w:pPr>
        <w:keepNext w:val="0"/>
        <w:spacing w:before="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ОТЧЁТ</w:t>
        <w:br/>
        <w:t>ПО ПРАКТИЧЕСКОЙ РАБОТЕ № 5</w:t>
      </w:r>
    </w:p>
    <w:p>
      <w:pPr>
        <w:keepNext w:val="0"/>
        <w:spacing w:before="0" w:after="24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«Метрология, стандартизация</w:t>
        <w:br/>
        <w:t>и сертификация в сфере ИТ»</w:t>
      </w:r>
    </w:p>
    <w:p>
      <w:pPr>
        <w:keepNext w:val="0"/>
        <w:spacing w:before="0" w:after="4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Тема: «Основные виды технической и технологической документации в ИКТ»</w:t>
      </w:r>
    </w:p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Выполнил(а): __________________________</w:t>
        <w:br/>
        <w:t>Группа: ______________________________</w:t>
        <w:br/>
        <w:t>Проверил(а): __________________________</w:t>
      </w:r>
    </w:p>
    <w:p>
      <w:pPr>
        <w:keepNext w:val="0"/>
        <w:spacing w:before="48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Уфа 2026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1 Цель и выбор системы стандартов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 — подготовить комплект документации ServiceDesk университета: ведомость, ТЗ и руководство. Разработчик — «ДокументПро». Названия и требования учебные [1].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Этап 1. Выбран ГОСТ 34: АС включает ПО, технику, персонал и процессы. ЕСПД применяется к программной части. ТЗ и описание программы — не эксплуатационные документы, поэтому в ведомость не включены [2–4].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1 — Ведомость эксплуатационных документов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706"/>
        <w:gridCol w:w="2665"/>
      </w:tblGrid>
      <w:tr>
        <w:trPr>
          <w:cantSplit/>
          <w:tblHeader/>
        </w:trPr>
        <w:tc>
          <w:tcPr>
            <w:tcW w:type="dxa" w:w="198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Условное обозначение</w:t>
            </w:r>
          </w:p>
        </w:tc>
        <w:tc>
          <w:tcPr>
            <w:tcW w:type="dxa" w:w="470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Документ / стандарт</w:t>
            </w:r>
          </w:p>
        </w:tc>
        <w:tc>
          <w:tcPr>
            <w:tcW w:type="dxa" w:w="266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Экз. / применение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SD.01-20</w:t>
            </w:r>
          </w:p>
        </w:tc>
        <w:tc>
          <w:tcPr>
            <w:tcW w:type="dxa" w:w="470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Ведомость эксплуатационных документов; ГОСТ 19.507-79.</w:t>
            </w:r>
          </w:p>
        </w:tc>
        <w:tc>
          <w:tcPr>
            <w:tcW w:type="dxa" w:w="266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электронный; состав комплекта.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SD.01-30</w:t>
            </w:r>
          </w:p>
        </w:tc>
        <w:tc>
          <w:tcPr>
            <w:tcW w:type="dxa" w:w="470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Формуляр; ГОСТ 19.501-78.</w:t>
            </w:r>
          </w:p>
        </w:tc>
        <w:tc>
          <w:tcPr>
            <w:tcW w:type="dxa" w:w="266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электронный; версия, комплектность, учёт эксплуатации.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SD.01-31</w:t>
            </w:r>
          </w:p>
        </w:tc>
        <w:tc>
          <w:tcPr>
            <w:tcW w:type="dxa" w:w="470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Описание применения; ГОСТ 19.502-78.</w:t>
            </w:r>
          </w:p>
        </w:tc>
        <w:tc>
          <w:tcPr>
            <w:tcW w:type="dxa" w:w="266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электронный; назначение и ограничения.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SD.01-32</w:t>
            </w:r>
          </w:p>
        </w:tc>
        <w:tc>
          <w:tcPr>
            <w:tcW w:type="dxa" w:w="470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Руководство системного программиста; ГОСТ 19.503-79.</w:t>
            </w:r>
          </w:p>
        </w:tc>
        <w:tc>
          <w:tcPr>
            <w:tcW w:type="dxa" w:w="266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электронный; администратор: установка, настройки, копии.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SD.01-33</w:t>
            </w:r>
          </w:p>
        </w:tc>
        <w:tc>
          <w:tcPr>
            <w:tcW w:type="dxa" w:w="470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Руководство программиста; ГОСТ 19.504-79.</w:t>
            </w:r>
          </w:p>
        </w:tc>
        <w:tc>
          <w:tcPr>
            <w:tcW w:type="dxa" w:w="266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электронный; сопровождение API и программных модулей.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SD.01-34</w:t>
            </w:r>
          </w:p>
        </w:tc>
        <w:tc>
          <w:tcPr>
            <w:tcW w:type="dxa" w:w="470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Руководство оператора; ГОСТ 19.505-79.</w:t>
            </w:r>
          </w:p>
        </w:tc>
        <w:tc>
          <w:tcPr>
            <w:tcW w:type="dxa" w:w="266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электронный; студент и сотрудник.</w:t>
            </w:r>
          </w:p>
        </w:tc>
      </w:tr>
    </w:tbl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SD.01-* — условные внутренние коды, не полные обозначения ЕСПД. Актуальные версии хранятся в репозитории документов.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2 Фрагмент технического задания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2.1 Общие сведения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Наименование: «Система учёта заявок на ИТ-поддержку университета (ServiceDesk)». Обозначение АС: УНИВ.СД.01; версия ТЗ: 1.0. Основание разработки — учебное задание, работа № 5. Заказчик: университет; разработчик: «ДокументПро».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Структура фрагмента следует ГОСТ 34.602-89, указанному в задании. Для действующего проекта применяется ГОСТ 34.602-2020; данный текст не выдаётся за полное согласованное ТЗ [3].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2.2 Назначение и цели создания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Назначение — автоматизация регистрации, распределения и контроля обращений студентов и сотрудников. Цели первого месяца эксплуатации: ≥95% обращений зарегистрированы в системе; ≥90% заявок назначены исполнителю за 4 рабочих часа; 100% изменений статуса имеют автора и время. Метрики рассчитываются ежемесячно по журналу событий.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2.3 Характеристика объекта автоматизации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Учебные условия: 5 000 пользователей, 100 одновременных сеансов; ИТ-служба работает по будням 09:00–18:00. Клиент — браузер, сервер — инфраструктура университета; вход через университетскую учётную запись. Заявка может содержать ПДн, поэтому доступ ограничивается ролью и принадлежностью заявки.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2.4 Требования к системе в целом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Время ответа p95 ≤2 с для просмотра и регистрации без загрузки вложения при 100 активных сеансах. Доступность в рабочие часы ≥99,5% в месяц, включая плановые остановки. Резервирование: RPO ≤24 ч, RTO ≤4 ч; восстановление проверяется ежемесячно. Секреты не записываются в журналы. Требования являются проектными, а не измеренными результатами.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2.5 Требования к функциональным подсистемам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2 — Проверяемые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rPr>
          <w:cantSplit/>
          <w:tblHeader/>
        </w:trPr>
        <w:tc>
          <w:tcPr>
            <w:tcW w:type="dxa" w:w="238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Подсистема</w:t>
            </w:r>
          </w:p>
        </w:tc>
        <w:tc>
          <w:tcPr>
            <w:tcW w:type="dxa" w:w="6973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Функции и критерии приёмки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Подача заявок</w:t>
            </w:r>
          </w:p>
        </w:tc>
        <w:tc>
          <w:tcPr>
            <w:tcW w:type="dxa" w:w="6973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Пользователь создаёт заявку с темой, категорией и описанием; до 3 файлов ≤10 МБ каждый. После сохранения получает уникальный номер. Повтор той же операции с тем же ключом не создаёт дубликат. Студент видит только свои заявки.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Обработка заявок</w:t>
            </w:r>
          </w:p>
        </w:tc>
        <w:tc>
          <w:tcPr>
            <w:tcW w:type="dxa" w:w="6973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Диспетчер назначает исполнителя и приоритет. Исполнитель изменяет статус: «Новая» → «Назначена» → «В работе» → «Решена» → «Закрыта». Возврат «Решена» → «В работе» доступен заявителю. Каждое изменение сохраняется в истории.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Аналитика</w:t>
            </w:r>
          </w:p>
        </w:tc>
        <w:tc>
          <w:tcPr>
            <w:tcW w:type="dxa" w:w="6973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Руководитель получает за выбранный период количество новых, решённых и просроченных заявок, медиану времени решения. Выгрузка CSV совпадает с контрольной выборкой БД; обычному студенту отчёты недоступны.</w:t>
            </w:r>
          </w:p>
        </w:tc>
      </w:tr>
    </w:tbl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2.6 Численность и квалификация персонала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На рабочую смену: 1 диспетчер (навыки классификации и SLA), 2 ИТ-специалиста (диагностика рабочих мест и сетей), 1 администратор (ОС, БД, резервирование и доступ), 1 руководитель поддержки (анализ отчётов). Администратор и руководитель могут быть невыделенными ролями. Все проходят 2-часовое обучение и выполняют контрольный сценарий без критических ошибок.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2.7 Контроль, приёмка и документирование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ПМИ должна покрывать три подсистемы, разграничение доступа, повторную отправку и восстановление. Приёмка: все обязательные сценарии пройдены, критических дефектов нет; протоколы и акт подписывает заказчик. Передаются документы из таблицы 1, ТЗ, описание АС и протоколы испытаний. План работ и роли детализированы в работе № 6.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3 Фрагмент руководства оператора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Документ SD.01-34, версия 1.0. Операция: подача заявки студентом. Разделы следуют ГОСТ 19.505-79; сведения о данных включены в описание выполнения [4].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3.1 Назначение и условия применения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ServiceDesk позволяет сообщить о проблеме и отслеживать решение. Нужны учётная запись университета, сеть и поддерживаемый браузер с JavaScript. Не передавайте пароль в заявке.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3.2 Подготовка к работе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Откройте ServiceDesk с портала университета. Нажмите «Войти», используйте университетскую учётную запись. Проверьте имя и контакт в профиле, выберите «Создать заявку».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3.3 Выполнение программы: входные данные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Тема — обязательна, 5–100 символов; категория — одно значение справочника; описание — обязательно, 20–2 000 символов, с местом и признаками проблемы. Контактный адрес берётся из профиля. Вложения необязательны: до 3 файлов форматов PDF, PNG, JPG, каждый ≤10 МБ. Исполняемые файлы не принимаются.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3.4 Основная операция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1. Введите тему, например «Не работает компьютер в аудитории 205». 2. Выберите категорию «Рабочее место». 3. Опишите проблему, время возникновения и уже выполненные действия. 4. При необходимости прикрепите снимок ошибки без чужих ПДн. 5. Проверьте данные и нажмите «Отправить» один раз. 6. Дождитесь номера заявки; откройте её в разделе «Мои заявки».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Выход: карточка с номером, датой, статусом «Новая» и историей. Сохраните номер. Доступ к чужим заявкам запрещён.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3.5 Сообщения оператору и особые условия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3 — Сообщения и действия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5839"/>
      </w:tblGrid>
      <w:tr>
        <w:trPr>
          <w:cantSplit/>
          <w:tblHeader/>
        </w:trPr>
        <w:tc>
          <w:tcPr>
            <w:tcW w:type="dxa" w:w="351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Сообщение</w:t>
            </w:r>
          </w:p>
        </w:tc>
        <w:tc>
          <w:tcPr>
            <w:tcW w:type="dxa" w:w="5839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Значение и действие студента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«Заявка SD-2026-00125 создана»</w:t>
            </w:r>
          </w:p>
        </w:tc>
        <w:tc>
          <w:tcPr>
            <w:tcW w:type="dxa" w:w="5839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Пример номера, не реальная заявка. Регистрация завершена; проверьте карточку в «Моих заявках».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«Заполните тему и описание»</w:t>
            </w:r>
          </w:p>
        </w:tc>
        <w:tc>
          <w:tcPr>
            <w:tcW w:type="dxa" w:w="5839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Поля пусты или короче минимума. Исправьте выделенные поля; данные ещё не отправлены.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«Недопустимый файл»</w:t>
            </w:r>
          </w:p>
        </w:tc>
        <w:tc>
          <w:tcPr>
            <w:tcW w:type="dxa" w:w="5839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Превышен размер/число файлов либо запрещён формат. Удалите неподходящее вложение и повторите отправку.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«Сеанс истёк»</w:t>
            </w:r>
          </w:p>
        </w:tc>
        <w:tc>
          <w:tcPr>
            <w:tcW w:type="dxa" w:w="5839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Скопируйте описание в безопасную локальную заметку, выполните вход снова, проверьте список заявок до повторной отправки.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«Нет доступа»</w:t>
            </w:r>
          </w:p>
        </w:tc>
        <w:tc>
          <w:tcPr>
            <w:tcW w:type="dxa" w:w="5839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 пытаетесь открыть чужую заявку или действие не разрешено. Вернитесь к своим заявкам; при ошибке обратитесь в поддержку.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«Не удалось подтвердить отправку»</w:t>
            </w:r>
          </w:p>
        </w:tc>
        <w:tc>
          <w:tcPr>
            <w:tcW w:type="dxa" w:w="5839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Возможен сетевой сбой после сохранения. Проверьте «Мои заявки»; при наличии номера повтор не нужен. Если заявки нет, восстановите соединение и повторите отправку.</w:t>
            </w:r>
          </w:p>
        </w:tc>
      </w:tr>
    </w:tbl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4 Выводы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Единые обозначения, версии и проверяемые формулировки уменьшают разночтения между заказчиком и разработчиком. ТЗ фиксирует требуемое поведение, руководство описывает действия пользователя, а ведомость контролирует комплектность. Критично согласовать одинаковые поля, лимиты и статусы во всех документах; в данном проекте они едины.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5 Ответы на контрольные вопросы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1) ЕСПД документирует программы; ГОСТ 34 — АС, включая технику, людей и процессы. Для ServiceDesk применяются совместно: ГОСТ 34 к системе и ГОСТ 19 к программной части.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2) Технический проект включает описание АС, проектные решения по функциям, данным, техническим средствам и организации; например, схему функциональной структуры, описание постановки задач, организационной структуры и информационного обеспечения [5, 6].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3) Ведомость эксплуатационных документов — перечень документов, необходимых для эксплуатации и сопровождения, с обозначениями и комплектностью. Она предотвращает передачу неполного или несогласованного комплекта [2].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4) Стиль: однозначные термины, короткие проверяемые требования, единые названия элементов, отсутствие рекламных оценок. Инструкции располагают по порядку действий, ошибки сопровождают конкретным способом исправления.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6 Источники и уточнения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1. Практические_работы__Методичка (2).docx. Практическая работа № 5.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2. ГОСТ 19.101-77. ЕСПД. Виды программ и программных документов; ГОСТ 19.507-79. ЕСПД. Ведомость эксплуатационных документов.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3. ГОСТ 34.602-89; 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4. ГОСТ 19.505-79. ЕСПД. Руководство оператора. Требования к содержанию и оформлению.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5. ГОСТ 34.601-90. Информационная технология. Комплекс стандартов на автоматизированные системы. Автоматизированные системы. Стадии создания. Учебная редакция из задания.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6. РД 50-34.698-90. Методические указания. Информационная технология. Комплекс стандартов на автоматизированные системы. Требования к содержанию документов.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Исправление методички: руководство программиста — ГОСТ 19.504-79, а ГОСТ 19.404-79 относится к пояснительной записке. ГОСТ 34.603-92 описывает испытания, не состав проектов; ссылка на «ГОСТ 34.604-92» не использована.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5. Основные виды технической и технологической документации в ИКТ</dc:title>
  <dc:subject>Отчёт по обновлённой методичке; дата подготовки 13.10.2026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