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18"/>
        <w:ind w:left="0" w:right="0"/>
      </w:pPr>
    </w:p>
    <w:p>
      <w:pPr>
        <w:autoSpaceDN w:val="0"/>
        <w:autoSpaceDE w:val="0"/>
        <w:widowControl/>
        <w:spacing w:line="1508" w:lineRule="exact" w:before="1420" w:after="0"/>
        <w:ind w:left="7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B0F0"/>
          <w:sz w:val="136"/>
        </w:rPr>
        <w:t xml:space="preserve">SEMESTER-II </w:t>
      </w:r>
    </w:p>
    <w:p>
      <w:pPr>
        <w:sectPr>
          <w:pgSz w:w="11906" w:h="16838"/>
          <w:pgMar w:top="1440" w:right="416" w:bottom="1440" w:left="670" w:header="720" w:footer="720" w:gutter="0"/>
          <w:cols w:space="720" w:num="1" w:equalWidth="0"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1"/>
        <w:gridCol w:w="3271"/>
        <w:gridCol w:w="3271"/>
      </w:tblGrid>
      <w:tr>
        <w:trPr>
          <w:trHeight w:hRule="exact" w:val="468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DSC-3-Organic Chemistry-I: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undamentals Of Organic Chemistry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489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116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provides a systematic study of the theories, principles, and techniques of basic organic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chemistry. Topics include structure and structural theories of organic compounds, organic reactions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their mechanisms, study of aliphatic and aromatic hydrocarbons and stereochemistry.</w:t>
            </w:r>
          </w:p>
        </w:tc>
      </w:tr>
      <w:tr>
        <w:trPr>
          <w:trHeight w:hRule="exact" w:val="2934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66" w:lineRule="exact" w:before="1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Students will be able: </w:t>
            </w:r>
          </w:p>
          <w:p>
            <w:pPr>
              <w:autoSpaceDN w:val="0"/>
              <w:autoSpaceDE w:val="0"/>
              <w:widowControl/>
              <w:spacing w:line="294" w:lineRule="exact" w:before="158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describe structure of organic compounds.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explain organic reactions and their mechanisms. 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use organic nomenclature.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identify functional groups.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describe alkanes, alkenes, and alkynes.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4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describe isomerism in alkenes and cyclic compounds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explain the properties of organohalogen compounds and benzene and its derivatives </w:t>
            </w:r>
          </w:p>
        </w:tc>
      </w:tr>
    </w:tbl>
    <w:p>
      <w:pPr>
        <w:autoSpaceDN w:val="0"/>
        <w:tabs>
          <w:tab w:pos="420" w:val="left"/>
          <w:tab w:pos="480" w:val="left"/>
        </w:tabs>
        <w:autoSpaceDE w:val="0"/>
        <w:widowControl/>
        <w:spacing w:line="276" w:lineRule="exact" w:before="634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Unit-1 Structure and Structural Theories of Organic Compounds                      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1.1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Structures and properties of molecules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Isomerism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Shapes of atomic orbital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Molecular orbital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1.6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covalent bond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1.7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MOs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1.8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Hybridization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1.9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Hydrogen bond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1.10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Polarity of bonds and molecules and dipole moment </w:t>
      </w:r>
    </w:p>
    <w:p>
      <w:pPr>
        <w:autoSpaceDN w:val="0"/>
        <w:tabs>
          <w:tab w:pos="506" w:val="left"/>
          <w:tab w:pos="566" w:val="left"/>
          <w:tab w:pos="8102" w:val="left"/>
        </w:tabs>
        <w:autoSpaceDE w:val="0"/>
        <w:widowControl/>
        <w:spacing w:line="276" w:lineRule="exact" w:before="276" w:after="0"/>
        <w:ind w:left="18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Unit-2 Organic Reactions and their Mechanisms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2.2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organic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2.3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reaction intermediates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 delocalization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reagents and organic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2.6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acids and bases &amp; their strength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2.7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Thermodynamics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organic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2.8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Kinetics of organic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2.9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Effect of catalyst on the kinetics of a reaction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2.10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IUPAC Nomenclature of organic compounds </w:t>
      </w:r>
    </w:p>
    <w:p>
      <w:pPr>
        <w:autoSpaceDN w:val="0"/>
        <w:tabs>
          <w:tab w:pos="566" w:val="left"/>
          <w:tab w:pos="720" w:val="left"/>
          <w:tab w:pos="8102" w:val="left"/>
        </w:tabs>
        <w:autoSpaceDE w:val="0"/>
        <w:widowControl/>
        <w:spacing w:line="276" w:lineRule="exact" w:before="318" w:after="0"/>
        <w:ind w:left="6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Unit-3 Alkanes and Alkyl Halides 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Alkanes: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3.1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Nomenclature </w:t>
      </w:r>
    </w:p>
    <w:p>
      <w:pPr>
        <w:sectPr>
          <w:pgSz w:w="11906" w:h="16838"/>
          <w:pgMar w:top="744" w:right="652" w:bottom="740" w:left="1440" w:header="720" w:footer="720" w:gutter="0"/>
          <w:cols w:space="720" w:num="1" w:equalWidth="0"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  <w:tab w:pos="1286" w:val="left"/>
        </w:tabs>
        <w:autoSpaceDE w:val="0"/>
        <w:widowControl/>
        <w:spacing w:line="276" w:lineRule="exact" w:before="0" w:after="0"/>
        <w:ind w:left="56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3.3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Substitution reactions of methane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Structural isomerism in alkane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3.5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Homologous series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3.6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Method of preparation of the alkanes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3.7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Physical properties of the alkanes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3.8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Chemical properties of the alkanes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3.9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 Individual alkanes: Methane, Ethane, Propane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Alkyl halides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Nomenclature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Method of Preparation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Physical Properties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Chemical Properties-Substitution Reaction (SN1&amp;SN2), Elimination Reaction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(E1&amp;E2)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3.15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Monohalogen, Dihalogen, Trihalogen and Polyhalogen Derivatives </w:t>
      </w:r>
    </w:p>
    <w:p>
      <w:pPr>
        <w:autoSpaceDN w:val="0"/>
        <w:tabs>
          <w:tab w:pos="486" w:val="left"/>
          <w:tab w:pos="566" w:val="left"/>
          <w:tab w:pos="720" w:val="left"/>
          <w:tab w:pos="1556" w:val="left"/>
          <w:tab w:pos="1728" w:val="left"/>
          <w:tab w:pos="8066" w:val="left"/>
        </w:tabs>
        <w:autoSpaceDE w:val="0"/>
        <w:widowControl/>
        <w:spacing w:line="264" w:lineRule="exact" w:before="288" w:after="0"/>
        <w:ind w:left="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Unit- 4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Alkenes, Dienes and Alkynes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Alkenes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4.1 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4.2.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4.3 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Method of Preparation-Saytzeff Rule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4.4 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4.5 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Chemical Properties-Markoynikov Rule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4.6 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Some alkenes: Ethylene, Propylene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Dienes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4.7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Classification of Dienes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4.8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1, 3-butadiene: Preparation and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Alkynes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4.9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Acidity of Alkynes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4.10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 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4.11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 Method of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4.12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 Physical and Chemical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4.13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   Acetylene </w:t>
      </w:r>
    </w:p>
    <w:p>
      <w:pPr>
        <w:autoSpaceDN w:val="0"/>
        <w:tabs>
          <w:tab w:pos="428" w:val="left"/>
          <w:tab w:pos="720" w:val="left"/>
          <w:tab w:pos="1148" w:val="left"/>
          <w:tab w:pos="2882" w:val="left"/>
          <w:tab w:pos="8066" w:val="left"/>
        </w:tabs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Unit- 5 Aryl halides &amp; Aromatic Compounds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(08Hrs) 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Aryl halides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5.1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5.2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Method of Preparation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5.3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Physical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5.4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Chemical Properties- 1) Reactions involving Halogen Atom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2) Reactions involving Aromatic Ring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5.5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Chlorobenzene, Chlorotouene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5.6 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Arylalkyl Halides, Arylmagnesium Halides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Aromatic Compounds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5.7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5.8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Sources of aromatic compounds: Coal, Petroleum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5.9 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Nomenclature </w:t>
      </w:r>
    </w:p>
    <w:p>
      <w:pPr>
        <w:autoSpaceDN w:val="0"/>
        <w:tabs>
          <w:tab w:pos="428" w:val="left"/>
          <w:tab w:pos="780" w:val="left"/>
          <w:tab w:pos="8162" w:val="left"/>
        </w:tabs>
        <w:autoSpaceDE w:val="0"/>
        <w:widowControl/>
        <w:spacing w:line="276" w:lineRule="exact" w:before="276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Unit- 6 Cycloalkanes and Benzene &amp; its Homologous 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Cycloalkanes: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Introduction </w:t>
      </w:r>
    </w:p>
    <w:p>
      <w:pPr>
        <w:sectPr>
          <w:pgSz w:w="11906" w:h="16838"/>
          <w:pgMar w:top="724" w:right="1376" w:bottom="834" w:left="1440" w:header="720" w:footer="720" w:gutter="0"/>
          <w:cols w:space="720" w:num="1" w:equalWidth="0"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42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Nomenclature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Physical Properties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Method of Preparation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Chemical Reactions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Cyclopropane aaand Cyclobutane preparation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Bayer’s Strain Theory and its limitations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Theory of Strainless ring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Conformations of Cycloalkanes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Benzene &amp; its Homologous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6.10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Nomenclature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6.11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of Benzene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6.12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Resonance Energy of Benzene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6.13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Aromaticity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6.14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Benzene, Toluene, Xylene, Cumene, Styrene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Futuristic Material Fullerenes (Bucky Balls), Carbon Nanotubes (Bucky tubes) </w:t>
      </w:r>
    </w:p>
    <w:p>
      <w:pPr>
        <w:autoSpaceDN w:val="0"/>
        <w:tabs>
          <w:tab w:pos="428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Unit- 7 Polynuclear Hydrocarbons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7.1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7.2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7.3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Nomenclature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7.4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Synthesis, Chemical Reactions and Uses: Naphthalene, Anthracene, Phenanthrene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7.5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Derivatives of Naphthalene, Anthracene, Phenanthrene </w:t>
      </w:r>
    </w:p>
    <w:p>
      <w:pPr>
        <w:autoSpaceDN w:val="0"/>
        <w:tabs>
          <w:tab w:pos="428" w:val="left"/>
          <w:tab w:pos="1028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Unit- 8 Stereo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(07Hrs)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8.1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8.2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Isomerism and its classification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8.3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Geometrical isomerism: cis-trans and syn-anti isomerism E/Z notations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C.I.P rules. </w:t>
      </w:r>
    </w:p>
    <w:p>
      <w:pPr>
        <w:autoSpaceDN w:val="0"/>
        <w:tabs>
          <w:tab w:pos="1028" w:val="left"/>
          <w:tab w:pos="1418" w:val="left"/>
        </w:tabs>
        <w:autoSpaceDE w:val="0"/>
        <w:widowControl/>
        <w:spacing w:line="276" w:lineRule="exact" w:before="0" w:after="0"/>
        <w:ind w:left="4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8.4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Conformational isomerism in alkanes (Ethane, Propane and n-butane)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energy profile diagrams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Optical Isomerism: Optical activity, specific rotation, chirality/asymmetry,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enantiomers, molecules with two or more chiral centers, distereo isomers, meso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structures, racemic mixtures and resolution, relative and absolute configuration,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D/L, R/S and E/Z designations. </w:t>
      </w:r>
    </w:p>
    <w:p>
      <w:pPr>
        <w:autoSpaceDN w:val="0"/>
        <w:tabs>
          <w:tab w:pos="1448" w:val="left"/>
        </w:tabs>
        <w:autoSpaceDE w:val="0"/>
        <w:widowControl/>
        <w:spacing w:line="276" w:lineRule="exact" w:before="0" w:after="0"/>
        <w:ind w:left="428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8.6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Fischer, Newmann and Sawhorse Projection formulae and their inter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conversions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566" w:val="left"/>
        </w:tabs>
        <w:autoSpaceDE w:val="0"/>
        <w:widowControl/>
        <w:spacing w:line="298" w:lineRule="exact" w:before="284" w:after="0"/>
        <w:ind w:left="30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F1111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Volume-1,2, I.L.Finar, 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Edn., 2002, , Pearson </w:t>
      </w:r>
      <w:r>
        <w:br/>
      </w:r>
      <w:r>
        <w:rPr>
          <w:rFonts w:ascii="TimesNewRomanPS" w:hAnsi="TimesNewRomanPS" w:eastAsia="TimesNewRomanPS"/>
          <w:b/>
          <w:i w:val="0"/>
          <w:color w:val="0F1111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Seventh Edition, By R.T.Morrison, R.N.Boyd, S.K. Bhattacharjee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2010, Pearson </w:t>
      </w:r>
    </w:p>
    <w:p>
      <w:pPr>
        <w:autoSpaceDN w:val="0"/>
        <w:autoSpaceDE w:val="0"/>
        <w:widowControl/>
        <w:spacing w:line="300" w:lineRule="exact" w:before="6" w:after="0"/>
        <w:ind w:left="284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 Organic Chemistry, Arun Bahl and B S Bahl, 2012, S.Chand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Chemistry, W.H. Perkin and F. S. Kipping, 2012,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Nabu Press</w:t>
      </w:r>
    </w:p>
    <w:p>
      <w:pPr>
        <w:sectPr>
          <w:pgSz w:w="11906" w:h="16838"/>
          <w:pgMar w:top="724" w:right="1358" w:bottom="1440" w:left="1440" w:header="720" w:footer="720" w:gutter="0"/>
          <w:cols w:space="720" w:num="1" w:equalWidth="0"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1"/>
        <w:gridCol w:w="3271"/>
        <w:gridCol w:w="3271"/>
      </w:tblGrid>
      <w:tr>
        <w:trPr>
          <w:trHeight w:hRule="exact" w:val="466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70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Subject: DSC-4-Physical Chemistry-I-Chemical Equilibrium and Electrochemistry </w:t>
            </w:r>
          </w:p>
        </w:tc>
      </w:tr>
      <w:tr>
        <w:trPr>
          <w:trHeight w:hRule="exact" w:val="466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+ 02(P)</w:t>
            </w:r>
          </w:p>
        </w:tc>
        <w:tc>
          <w:tcPr>
            <w:tcW w:type="dxa" w:w="489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360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4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Paper proposes to teach about: The chemical equilibrium,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solubility, phase equilibria, hydrolysis, pH metric titrations, electrolytes and electrolysis, behaviour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ions in aqueous solutions, conductance and conductometric titrations, characteristics of above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their applications. </w:t>
            </w:r>
          </w:p>
        </w:tc>
      </w:tr>
      <w:tr>
        <w:trPr>
          <w:trHeight w:hRule="exact" w:val="1662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4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completing this course, the students will be able to learn: Concepts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characteristics, various laws, principles, rules, derivations, measurements, determinations,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calculations related to chemical equilibrium, solubility, phase equilibria, hydrolysis, pH metric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titrations, electrolytes and electrolysis, behaviour of ions in aqueous solutions, conductance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conductometric titrations. 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1"/>
        <w:gridCol w:w="3271"/>
        <w:gridCol w:w="3271"/>
      </w:tblGrid>
      <w:tr>
        <w:trPr>
          <w:trHeight w:hRule="exact" w:val="320"/>
        </w:trPr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Chemical Equilibrium</w:t>
            </w:r>
          </w:p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3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(04 Hrs) </w:t>
            </w:r>
          </w:p>
        </w:tc>
      </w:tr>
      <w:tr>
        <w:trPr>
          <w:trHeight w:hRule="exact" w:val="2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Concepts and characteristics </w:t>
            </w:r>
          </w:p>
        </w:tc>
        <w:tc>
          <w:tcPr>
            <w:tcW w:type="dxa" w:w="327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law of chemical equilibrium </w:t>
            </w:r>
          </w:p>
        </w:tc>
        <w:tc>
          <w:tcPr>
            <w:tcW w:type="dxa" w:w="327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1.3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Le Chatelier’s principle </w:t>
            </w:r>
          </w:p>
        </w:tc>
        <w:tc>
          <w:tcPr>
            <w:tcW w:type="dxa" w:w="3271"/>
            <w:vMerge/>
            <w:tcBorders/>
          </w:tcPr>
          <w:p/>
        </w:tc>
      </w:tr>
    </w:tbl>
    <w:p>
      <w:pPr>
        <w:autoSpaceDN w:val="0"/>
        <w:tabs>
          <w:tab w:pos="566" w:val="left"/>
          <w:tab w:pos="1004" w:val="left"/>
        </w:tabs>
        <w:autoSpaceDE w:val="0"/>
        <w:widowControl/>
        <w:spacing w:line="274" w:lineRule="exact" w:before="0" w:after="0"/>
        <w:ind w:left="284" w:right="259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Effects of change of temperature, pressure and concentration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of the law of chemical equilibrium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equilibria in homogeneous systems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equilibria in heterogeneous systems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Numerical </w:t>
      </w:r>
    </w:p>
    <w:p>
      <w:pPr>
        <w:autoSpaceDN w:val="0"/>
        <w:tabs>
          <w:tab w:pos="240" w:val="left"/>
          <w:tab w:pos="300" w:val="left"/>
          <w:tab w:pos="720" w:val="left"/>
          <w:tab w:pos="8102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2: Solubility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Solubility and solubility product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Common ion effect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 of solubility product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Determination of solubility of sparingly soluble salt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Fractional precipitation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Qualitative analysis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Salting out of soap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Numerical </w:t>
      </w:r>
    </w:p>
    <w:p>
      <w:pPr>
        <w:autoSpaceDN w:val="0"/>
        <w:tabs>
          <w:tab w:pos="300" w:val="left"/>
          <w:tab w:pos="720" w:val="left"/>
          <w:tab w:pos="8102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3:  Phase Equilibria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Phase and components, Degree of freedom (F)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Gibb’s phase rule: derivation, reduced phase rule and phase diagram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One component system: phase diagram of Water, Carbon Dioxide and Sulfur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Two component system: eutectic behaviour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Phase diagram of Lead-Silver, Zinc-Magnesium, Ferric Chloride-Water,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Sodium-Potassium, Sodium Sulfate-Water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Method of construction of a phase diagram: cooling curve, heating curve, lever rule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Phase diagram of liquid-liquid systems: Phenol-Water and Sodium Chloride-Wate </w:t>
      </w:r>
    </w:p>
    <w:p>
      <w:pPr>
        <w:autoSpaceDN w:val="0"/>
        <w:tabs>
          <w:tab w:pos="300" w:val="left"/>
          <w:tab w:pos="8102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4: Hydrolysis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(06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Hydrolysis, salt hydrolysis, hydrolysis constants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Relation between degree of hydrolysis </w:t>
      </w:r>
    </w:p>
    <w:p>
      <w:pPr>
        <w:sectPr>
          <w:pgSz w:w="11906" w:h="16838"/>
          <w:pgMar w:top="750" w:right="652" w:bottom="762" w:left="1440" w:header="720" w:footer="720" w:gutter="0"/>
          <w:cols w:space="720" w:num="1" w:equalWidth="0">
            <w:col w:w="9814" w:space="0"/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300" w:val="left"/>
          <w:tab w:pos="840" w:val="left"/>
        </w:tabs>
        <w:autoSpaceDE w:val="0"/>
        <w:widowControl/>
        <w:spacing w:line="274" w:lineRule="exact" w:before="0" w:after="0"/>
        <w:ind w:left="240" w:right="302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Hydrolysis constant and pH of solutions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(a) Salts of weak acid and strong base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(b) Salts of strong acid and weak base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(c) Salts of weak acid and weak base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Significance of the Henderson-Hasselback equation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Numerical </w:t>
      </w:r>
    </w:p>
    <w:p>
      <w:pPr>
        <w:autoSpaceDN w:val="0"/>
        <w:tabs>
          <w:tab w:pos="300" w:val="left"/>
          <w:tab w:pos="36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5: Electrochemistry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Principle: Faraday’s law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Electrochemical cell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Electrode Potential: Nernst’s equation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Potentiometric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Numerical </w:t>
      </w:r>
    </w:p>
    <w:p>
      <w:pPr>
        <w:autoSpaceDN w:val="0"/>
        <w:tabs>
          <w:tab w:pos="300" w:val="left"/>
          <w:tab w:pos="360" w:val="left"/>
          <w:tab w:pos="480" w:val="left"/>
          <w:tab w:pos="144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6: pH metric Titrations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(06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Principle of pH measurements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6.2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Acid-base titration curves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 curve for a strong acid –strong base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 curve for a weak acid –strong base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 curve for a strong acid –weak base titrations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6.4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Numerical </w:t>
      </w:r>
    </w:p>
    <w:p>
      <w:pPr>
        <w:autoSpaceDN w:val="0"/>
        <w:tabs>
          <w:tab w:pos="300" w:val="left"/>
          <w:tab w:pos="36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7: Electrolytes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(12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Ions in solutions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Metalic conductance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Electrolytic conductance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Classification of electrolytes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Electrolysis: Product formation of electrolysis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Migration of ions: Hittorf’s rule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7.7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Transport number of ions and  its determination by moving boundry method.  </w:t>
      </w:r>
    </w:p>
    <w:p>
      <w:pPr>
        <w:autoSpaceDN w:val="0"/>
        <w:tabs>
          <w:tab w:pos="960" w:val="left"/>
        </w:tabs>
        <w:autoSpaceDE w:val="0"/>
        <w:widowControl/>
        <w:spacing w:line="276" w:lineRule="exact" w:before="0" w:after="0"/>
        <w:ind w:left="30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Factors affecting transport numbers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Kohlraush law of ionic conductance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7.10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Kohlraush law to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(a) Determination of degree of dissociation of weak electrolyte. </w:t>
      </w:r>
    </w:p>
    <w:p>
      <w:pPr>
        <w:autoSpaceDN w:val="0"/>
        <w:tabs>
          <w:tab w:pos="1260" w:val="left"/>
        </w:tabs>
        <w:autoSpaceDE w:val="0"/>
        <w:widowControl/>
        <w:spacing w:line="276" w:lineRule="exact" w:before="0" w:after="0"/>
        <w:ind w:left="9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(b) Determination of equivalent conductivity of weak electrolyte at infinite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dilution. </w:t>
      </w:r>
    </w:p>
    <w:p>
      <w:pPr>
        <w:autoSpaceDN w:val="0"/>
        <w:autoSpaceDE w:val="0"/>
        <w:widowControl/>
        <w:spacing w:line="266" w:lineRule="exact" w:before="10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(c) Determination of solubility and solubility product of sparingly soluble salts. </w:t>
      </w:r>
    </w:p>
    <w:p>
      <w:pPr>
        <w:autoSpaceDN w:val="0"/>
        <w:tabs>
          <w:tab w:pos="960" w:val="left"/>
        </w:tabs>
        <w:autoSpaceDE w:val="0"/>
        <w:widowControl/>
        <w:spacing w:line="276" w:lineRule="exact" w:before="0" w:after="0"/>
        <w:ind w:left="240" w:right="37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(d) Determination of ionic product of water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7.11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Numerical </w:t>
      </w:r>
    </w:p>
    <w:p>
      <w:pPr>
        <w:autoSpaceDN w:val="0"/>
        <w:tabs>
          <w:tab w:pos="300" w:val="left"/>
          <w:tab w:pos="360" w:val="left"/>
          <w:tab w:pos="720" w:val="left"/>
          <w:tab w:pos="84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Electrolytic Conductance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(12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Electrical conductance, specific conductance, equivalent conductance, molar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conductance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Cell constant, Determination of Cell constant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Effect of dilution on concentration- Ostwald’s dilution law and its limitations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Factors affecting conductance of electrolytic solutions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Conductometric titrations: advantages, procedures and precautions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Principle and types of conductometric titrations: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(a) strong acid v/s strong base (b) strong acid v/s weak base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(c) weak acid v/s strong base  (d) weak acid v/s weak base </w:t>
      </w:r>
    </w:p>
    <w:p>
      <w:pPr>
        <w:sectPr>
          <w:pgSz w:w="11906" w:h="16838"/>
          <w:pgMar w:top="724" w:right="1376" w:bottom="800" w:left="1440" w:header="720" w:footer="720" w:gutter="0"/>
          <w:cols w:space="720" w:num="1" w:equalWidth="0">
            <w:col w:w="9090" w:space="0"/>
            <w:col w:w="9814" w:space="0"/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840" w:val="left"/>
        </w:tabs>
        <w:autoSpaceDE w:val="0"/>
        <w:widowControl/>
        <w:spacing w:line="272" w:lineRule="exact" w:before="0" w:after="0"/>
        <w:ind w:left="180" w:right="288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(e) weak acid and strong base mixture v/s strong base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(f) Precipitation titrations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Numerical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180" w:val="left"/>
        </w:tabs>
        <w:autoSpaceDE w:val="0"/>
        <w:widowControl/>
        <w:spacing w:line="316" w:lineRule="exact" w:before="418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 Essentials of Physical Chemistry, Arun Bahl, B.S. Bahi, G.D. Tuli,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Revised Edition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2008, Reprint 2016, S. Chand and Company Limited. </w:t>
      </w:r>
    </w:p>
    <w:p>
      <w:pPr>
        <w:autoSpaceDN w:val="0"/>
        <w:tabs>
          <w:tab w:pos="180" w:val="left"/>
        </w:tabs>
        <w:autoSpaceDE w:val="0"/>
        <w:widowControl/>
        <w:spacing w:line="316" w:lineRule="exact" w:before="2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An Introduction to Physical Chemistry, Ishwar Das, Archana Sharma, Namita Rani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Agrawal,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Revised Edition, 2012, New Age International Publishers. </w:t>
      </w:r>
    </w:p>
    <w:p>
      <w:pPr>
        <w:autoSpaceDN w:val="0"/>
        <w:tabs>
          <w:tab w:pos="240" w:val="left"/>
        </w:tabs>
        <w:autoSpaceDE w:val="0"/>
        <w:widowControl/>
        <w:spacing w:line="316" w:lineRule="exact" w:before="4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Text book of Engineering Chemistry by Shashi Chawla, Dhanpat Rai and Company,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2003, </w:t>
      </w:r>
      <w:r>
        <w:rPr>
          <w:rFonts w:ascii="ArialMT" w:hAnsi="ArialMT" w:eastAsia="ArialMT"/>
          <w:b w:val="0"/>
          <w:i w:val="0"/>
          <w:color w:val="212121"/>
          <w:sz w:val="21"/>
        </w:rPr>
        <w:t>Dhanpat rai and co. pvt. ltd.</w:t>
      </w:r>
    </w:p>
    <w:p>
      <w:pPr>
        <w:autoSpaceDN w:val="0"/>
        <w:tabs>
          <w:tab w:pos="180" w:val="left"/>
        </w:tabs>
        <w:autoSpaceDE w:val="0"/>
        <w:widowControl/>
        <w:spacing w:line="316" w:lineRule="exact" w:before="2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Textbook of Physical Chemistry, M.V. Sangaranarayanan, V. Mahadevan,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2011, University Press (India) Pvt. Ltd. </w:t>
      </w:r>
    </w:p>
    <w:p>
      <w:pPr>
        <w:autoSpaceDN w:val="0"/>
        <w:tabs>
          <w:tab w:pos="180" w:val="left"/>
          <w:tab w:pos="240" w:val="left"/>
        </w:tabs>
        <w:autoSpaceDE w:val="0"/>
        <w:widowControl/>
        <w:spacing w:line="316" w:lineRule="exact" w:before="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Physical Chemistry for S.Y.B.Sc. Sem-4, Dr. Hemangi Desai, 2017, New Popular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Prakashan,                               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Elements of Physical Chemistry;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Samuel Glasstone, David Lewis, 1960,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MacMillan Company of India Ltd. </w:t>
      </w:r>
    </w:p>
    <w:p>
      <w:pPr>
        <w:autoSpaceDN w:val="0"/>
        <w:tabs>
          <w:tab w:pos="180" w:val="left"/>
        </w:tabs>
        <w:autoSpaceDE w:val="0"/>
        <w:widowControl/>
        <w:spacing w:line="316" w:lineRule="exact" w:before="4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A Text Book of Physical Chemistry A. S. Negi &amp; S.C. Anand,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1999,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Age International. </w:t>
      </w:r>
    </w:p>
    <w:p>
      <w:pPr>
        <w:autoSpaceDN w:val="0"/>
        <w:tabs>
          <w:tab w:pos="180" w:val="left"/>
        </w:tabs>
        <w:autoSpaceDE w:val="0"/>
        <w:widowControl/>
        <w:spacing w:line="316" w:lineRule="exact" w:before="0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Text Book of Physical Chemistry, P. L. Soni and O. P. Dharmraj, 19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1992, 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Chand and Company. </w:t>
      </w:r>
    </w:p>
    <w:p>
      <w:pPr>
        <w:autoSpaceDN w:val="0"/>
        <w:tabs>
          <w:tab w:pos="180" w:val="left"/>
        </w:tabs>
        <w:autoSpaceDE w:val="0"/>
        <w:widowControl/>
        <w:spacing w:line="318" w:lineRule="exact" w:before="0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Text book of Physical Chemistry, S.C.Khetarpal and Yogeshwar Sharma,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2001, S. Chand and Company. </w:t>
      </w:r>
    </w:p>
    <w:p>
      <w:pPr>
        <w:sectPr>
          <w:pgSz w:w="11906" w:h="16838"/>
          <w:pgMar w:top="724" w:right="1440" w:bottom="1440" w:left="1440" w:header="720" w:footer="720" w:gutter="0"/>
          <w:cols w:space="720" w:num="1" w:equalWidth="0">
            <w:col w:w="9026" w:space="0"/>
            <w:col w:w="9090" w:space="0"/>
            <w:col w:w="9814" w:space="0"/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1"/>
        <w:gridCol w:w="3271"/>
        <w:gridCol w:w="3271"/>
      </w:tblGrid>
      <w:tr>
        <w:trPr>
          <w:trHeight w:hRule="exact" w:val="470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DSE-2- Polymer Chemistry</w:t>
            </w:r>
          </w:p>
        </w:tc>
      </w:tr>
      <w:tr>
        <w:trPr>
          <w:trHeight w:hRule="exact" w:val="470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02 (T)</w:t>
            </w:r>
          </w:p>
        </w:tc>
        <w:tc>
          <w:tcPr>
            <w:tcW w:type="dxa" w:w="489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1498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gives a general introduction to polymers. Focus is placed on the classification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systematics of polymers. It also deals with the polymerization techniques, kinetics of polymerization,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molecular weight and size, polymer structures and physical properties, polymer reaction, polymer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solutions and individual polymers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3210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66" w:lineRule="exact" w:before="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be able: </w:t>
            </w:r>
          </w:p>
          <w:p>
            <w:pPr>
              <w:autoSpaceDN w:val="0"/>
              <w:autoSpaceDE w:val="0"/>
              <w:widowControl/>
              <w:spacing w:line="292" w:lineRule="exact" w:before="24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Chemistry of polymers. </w:t>
            </w:r>
          </w:p>
          <w:p>
            <w:pPr>
              <w:autoSpaceDN w:val="0"/>
              <w:autoSpaceDE w:val="0"/>
              <w:widowControl/>
              <w:spacing w:line="276" w:lineRule="exact" w:before="18" w:after="0"/>
              <w:ind w:left="824" w:right="46" w:hanging="36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recognize the types of polymers, the significance and determination of their molecular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mass and understand the relationships between polymer molecular weight, molecular weight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distribution, and the properties of polymeric materials.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4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acknowledge in detail the mechanisms of the reactions that lead to the formation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different levels of polymer structure.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apprehend an overview of polymer reactions and reactivity of polymers.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factors that influences the degradation of polymers. </w:t>
            </w:r>
          </w:p>
          <w:p>
            <w:pPr>
              <w:autoSpaceDN w:val="0"/>
              <w:autoSpaceDE w:val="0"/>
              <w:widowControl/>
              <w:spacing w:line="292" w:lineRule="exact" w:before="2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learn about the properties of polymers in solution and biopolymers.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7"/>
        <w:gridCol w:w="4907"/>
      </w:tblGrid>
      <w:tr>
        <w:trPr>
          <w:trHeight w:hRule="exact" w:val="33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 The Genesis of Polymers 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7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(04 Hrs) </w:t>
            </w:r>
          </w:p>
        </w:tc>
      </w:tr>
    </w:tbl>
    <w:p>
      <w:pPr>
        <w:autoSpaceDN w:val="0"/>
        <w:tabs>
          <w:tab w:pos="240" w:val="left"/>
          <w:tab w:pos="720" w:val="left"/>
        </w:tabs>
        <w:autoSpaceDE w:val="0"/>
        <w:widowControl/>
        <w:spacing w:line="276" w:lineRule="exact" w:before="0" w:after="0"/>
        <w:ind w:left="18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Brief History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Monomer: Basic concept, Types, Functionality, Purification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Polymer: Basic concept, Types of Polymer structure, Effect of functionality, IUPAC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nomenclature of polymer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Classification of Polymers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Chemistry of Polymerization </w:t>
      </w:r>
    </w:p>
    <w:p>
      <w:pPr>
        <w:autoSpaceDN w:val="0"/>
        <w:tabs>
          <w:tab w:pos="240" w:val="left"/>
          <w:tab w:pos="8162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 Molecular Weight and Size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“Average” molecular weight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Number-Average and Weight-average molecular weights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Molecular weight and Degree of Polymerization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Practical significance of Polymer molecular weight </w:t>
      </w:r>
    </w:p>
    <w:p>
      <w:pPr>
        <w:autoSpaceDN w:val="0"/>
        <w:tabs>
          <w:tab w:pos="300" w:val="left"/>
          <w:tab w:pos="8162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Kinetics of Polymerization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(03Hrs)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Free-radical Chain Polymerization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Cationic Polymerization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Anionic Polymerization </w:t>
      </w:r>
    </w:p>
    <w:p>
      <w:pPr>
        <w:autoSpaceDN w:val="0"/>
        <w:tabs>
          <w:tab w:pos="240" w:val="left"/>
          <w:tab w:pos="8162" w:val="left"/>
        </w:tabs>
        <w:autoSpaceDE w:val="0"/>
        <w:widowControl/>
        <w:spacing w:line="276" w:lineRule="exact" w:before="278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Copolymerization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(03Hrs)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Kinetics of Copolymerization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Free-radical Copolymerization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Ionic Copolymerization </w:t>
      </w:r>
    </w:p>
    <w:p>
      <w:pPr>
        <w:autoSpaceDN w:val="0"/>
        <w:tabs>
          <w:tab w:pos="8162" w:val="left"/>
        </w:tabs>
        <w:autoSpaceDE w:val="0"/>
        <w:widowControl/>
        <w:spacing w:line="264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Polymer Structure and Physical Properties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(04Hrs) </w:t>
      </w:r>
    </w:p>
    <w:p>
      <w:pPr>
        <w:sectPr>
          <w:pgSz w:w="11906" w:h="16838"/>
          <w:pgMar w:top="804" w:right="652" w:bottom="830" w:left="1440" w:header="720" w:footer="720" w:gutter="0"/>
          <w:cols w:space="720" w:num="1" w:equalWidth="0">
            <w:col w:w="9814" w:space="0"/>
            <w:col w:w="9026" w:space="0"/>
            <w:col w:w="9090" w:space="0"/>
            <w:col w:w="9814" w:space="0"/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40" w:right="53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Polymer Microstructure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Glass Transition Temperature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Crystallinity in Polymer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Viscoelasticity</w:t>
      </w:r>
    </w:p>
    <w:p>
      <w:pPr>
        <w:autoSpaceDN w:val="0"/>
        <w:tabs>
          <w:tab w:pos="24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Polymer Reactions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Hydrolysis, Acidolysis, Aminolysis, Hydrogenation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Addition and Substitution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Cyclization Reactions </w:t>
      </w:r>
    </w:p>
    <w:p>
      <w:pPr>
        <w:autoSpaceDN w:val="0"/>
        <w:tabs>
          <w:tab w:pos="24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Polymer Solutions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Polymer Dissolution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Thermodynamics of Polymer Dissolution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Flory-Huggins Theory of Polymer Solution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Nature of Polymer Molecules in Solution </w:t>
      </w:r>
    </w:p>
    <w:p>
      <w:pPr>
        <w:autoSpaceDN w:val="0"/>
        <w:tabs>
          <w:tab w:pos="300" w:val="left"/>
          <w:tab w:pos="600" w:val="left"/>
          <w:tab w:pos="81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Individual Polymers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Hydrocarbon Plastics and Elastomers:Polyethylene, Polypropylene, Polyisoprene,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Polybutadiene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Carbon-Chain Polymers:Polystyrene,Polyacrylonitrile, Polyesters, PVC, PFC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Hetero Chain Thermoplastics: Polyamide, Polypeptides, Cellulosic Polymers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Inorganic Polymers and Biopolymers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644" w:val="left"/>
        </w:tabs>
        <w:autoSpaceDE w:val="0"/>
        <w:widowControl/>
        <w:spacing w:line="294" w:lineRule="exact" w:before="194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Polymer Science, V R Gowarikar, N V Vishwanathan, Jaydev Sreedhar, 1987, Wiley–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Blackwell </w:t>
      </w:r>
    </w:p>
    <w:p>
      <w:pPr>
        <w:autoSpaceDN w:val="0"/>
        <w:autoSpaceDE w:val="0"/>
        <w:widowControl/>
        <w:spacing w:line="300" w:lineRule="exact" w:before="6" w:after="0"/>
        <w:ind w:left="24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 Book of Polymers Vol I to III, M S Bhatnagar, 2004, S. Chand Publication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 Book of Polymer Science, F W Billmeyer, 2007, Wiley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Polymerization, George Odian, 2004, Wiley-Interscience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Introductory Polymer Chemistry, S Misra, 1994, Wiley–Blackwell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 Book of Polymer Science, P L Nayak and S Lenka, 2001,  Kalyani Publishers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Polymer Science and Technology, A Ghosh, 2001, Tata McGraw Hill Education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Polymer Chemistry, M G Arora and M Singh, 2003, Anmol Publisher </w:t>
      </w:r>
    </w:p>
    <w:p>
      <w:pPr>
        <w:sectPr>
          <w:pgSz w:w="11906" w:h="16838"/>
          <w:pgMar w:top="724" w:right="1376" w:bottom="1440" w:left="1440" w:header="720" w:footer="720" w:gutter="0"/>
          <w:cols w:space="720" w:num="1" w:equalWidth="0">
            <w:col w:w="9090" w:space="0"/>
            <w:col w:w="9814" w:space="0"/>
            <w:col w:w="9026" w:space="0"/>
            <w:col w:w="9090" w:space="0"/>
            <w:col w:w="9814" w:space="0"/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1"/>
        <w:gridCol w:w="3271"/>
        <w:gridCol w:w="3271"/>
      </w:tblGrid>
      <w:tr>
        <w:trPr>
          <w:trHeight w:hRule="exact" w:val="468"/>
        </w:trPr>
        <w:tc>
          <w:tcPr>
            <w:tcW w:type="dxa" w:w="524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(Sem-II)</w:t>
            </w:r>
          </w:p>
        </w:tc>
        <w:tc>
          <w:tcPr>
            <w:tcW w:type="dxa" w:w="45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8"/>
        </w:trPr>
        <w:tc>
          <w:tcPr>
            <w:tcW w:type="dxa" w:w="9786"/>
            <w:gridSpan w:val="3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DSE-2-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Chemistry of New Material</w:t>
            </w:r>
          </w:p>
        </w:tc>
      </w:tr>
      <w:tr>
        <w:trPr>
          <w:trHeight w:hRule="exact" w:val="466"/>
        </w:trPr>
        <w:tc>
          <w:tcPr>
            <w:tcW w:type="dxa" w:w="48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02 (T)</w:t>
            </w:r>
          </w:p>
        </w:tc>
        <w:tc>
          <w:tcPr>
            <w:tcW w:type="dxa" w:w="489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1116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>This course provides an overview of novel material like composites, solid electrolytes, liquid crystal,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>self-healing materials, and nanomaterial.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emphasises on the introduction and application of modern material. </w:t>
            </w:r>
          </w:p>
        </w:tc>
      </w:tr>
      <w:tr>
        <w:trPr>
          <w:trHeight w:hRule="exact" w:val="4100"/>
        </w:trPr>
        <w:tc>
          <w:tcPr>
            <w:tcW w:type="dxa" w:w="978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Upon completion of this course, students will: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88" w:lineRule="exact" w:before="184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understanding of importance and types of inorganic solids like electrolytes, , molecular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compounds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Get information regarding types, properties and classification of nanoparticles, preparation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metallic nanoparticles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Know about carbon nanotubes as well as bio-nano material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Get insight of characteristics of alloys, their classification and some application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Find information regarding the various types of composites as engineering materials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environmental effects on composites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able to discuss the synthesis and properties of speciality polymers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Get knowledge about liquid crystal and some of the properties of liquid crystals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familiar with new idea of self-healing materials and mechanism 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420" w:right="720" w:hanging="4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Unit-1 Solid Electrolyte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(04Hrs)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Characteristics and advantage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Types of solid electrolyte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solid electrolyte </w:t>
      </w:r>
    </w:p>
    <w:p>
      <w:pPr>
        <w:autoSpaceDN w:val="0"/>
        <w:autoSpaceDE w:val="0"/>
        <w:widowControl/>
        <w:spacing w:line="276" w:lineRule="exact" w:before="276" w:after="0"/>
        <w:ind w:left="360" w:right="720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Unit-2 Molecular Material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(04Hrs)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Molecular material and fullerides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One-dimensional metals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Molecular magnets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Composites                                                                                                         (04Hrs)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2" w:after="0"/>
        <w:ind w:left="300" w:right="37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Definition, General characteristics and classification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Role of matrix in composites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Fibre-reinforced composites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Applications of composites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Nanomaterial                                                                                                     (04Hrs)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2" w:after="0"/>
        <w:ind w:left="300" w:right="46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Definition and types of nano-materials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Size dependent properties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Carbon nanotubes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Bio-inorganic nanomaterials and composites </w:t>
      </w:r>
    </w:p>
    <w:p>
      <w:pPr>
        <w:sectPr>
          <w:pgSz w:w="11906" w:h="16838"/>
          <w:pgMar w:top="916" w:right="652" w:bottom="1134" w:left="1440" w:header="720" w:footer="720" w:gutter="0"/>
          <w:cols w:space="720" w:num="1" w:equalWidth="0">
            <w:col w:w="9814" w:space="0"/>
            <w:col w:w="9090" w:space="0"/>
            <w:col w:w="9814" w:space="0"/>
            <w:col w:w="9026" w:space="0"/>
            <w:col w:w="9090" w:space="0"/>
            <w:col w:w="9814" w:space="0"/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4"/>
        <w:ind w:left="0" w:right="0"/>
      </w:pPr>
    </w:p>
    <w:p>
      <w:pPr>
        <w:autoSpaceDN w:val="0"/>
        <w:tabs>
          <w:tab w:pos="328" w:val="left"/>
          <w:tab w:pos="388" w:val="left"/>
        </w:tabs>
        <w:autoSpaceDE w:val="0"/>
        <w:widowControl/>
        <w:spacing w:line="278" w:lineRule="exact" w:before="0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Organic Conductors                                                                                          (03Hrs)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Conducting polymers - Introduction, conduction mechanism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Electrically conducting organic solids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Polyacetylene, polyparaphenylene and polypyrole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Applications  </w:t>
      </w:r>
    </w:p>
    <w:p>
      <w:pPr>
        <w:autoSpaceDN w:val="0"/>
        <w:tabs>
          <w:tab w:pos="328" w:val="left"/>
          <w:tab w:pos="388" w:val="left"/>
        </w:tabs>
        <w:autoSpaceDE w:val="0"/>
        <w:widowControl/>
        <w:spacing w:line="276" w:lineRule="exact" w:before="276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Unit-6 Liquid Crystal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                                                                                                 (04Hrs)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Mesomorphic behaviour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Thermotropic liquid crystal 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Optical properties of liquid crystals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Optical storage memory switches and sensors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Alloys for Mechanical Construction                                                                (04Hrs) </w:t>
      </w:r>
    </w:p>
    <w:p>
      <w:pPr>
        <w:autoSpaceDN w:val="0"/>
        <w:autoSpaceDE w:val="0"/>
        <w:widowControl/>
        <w:spacing w:line="276" w:lineRule="exact" w:before="42" w:after="0"/>
        <w:ind w:left="388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Classification of alloys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Copper, aluminum and their alloys like duralumin, brasses and bronzes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7.3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High speed tool steel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Super alloys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Self-healing Material                                                                                         (03Hrs) </w:t>
      </w:r>
    </w:p>
    <w:p>
      <w:pPr>
        <w:autoSpaceDN w:val="0"/>
        <w:autoSpaceDE w:val="0"/>
        <w:widowControl/>
        <w:spacing w:line="266" w:lineRule="exact" w:before="54" w:after="0"/>
        <w:ind w:left="3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History </w:t>
      </w:r>
    </w:p>
    <w:p>
      <w:pPr>
        <w:autoSpaceDN w:val="0"/>
        <w:autoSpaceDE w:val="0"/>
        <w:widowControl/>
        <w:spacing w:line="266" w:lineRule="exact" w:before="50" w:after="0"/>
        <w:ind w:left="4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Self-healing cementitious material </w:t>
      </w:r>
    </w:p>
    <w:p>
      <w:pPr>
        <w:autoSpaceDN w:val="0"/>
        <w:autoSpaceDE w:val="0"/>
        <w:widowControl/>
        <w:spacing w:line="264" w:lineRule="exact" w:before="52" w:after="0"/>
        <w:ind w:left="4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8.3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Autonomic, autogenic and bio-based healing </w:t>
      </w:r>
    </w:p>
    <w:p>
      <w:pPr>
        <w:autoSpaceDN w:val="0"/>
        <w:autoSpaceDE w:val="0"/>
        <w:widowControl/>
        <w:spacing w:line="266" w:lineRule="exact" w:before="52" w:after="0"/>
        <w:ind w:left="3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Various Self-healing materials (Introduction only) </w:t>
      </w:r>
    </w:p>
    <w:p>
      <w:pPr>
        <w:autoSpaceDN w:val="0"/>
        <w:autoSpaceDE w:val="0"/>
        <w:widowControl/>
        <w:spacing w:line="266" w:lineRule="exact" w:before="326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184" w:after="0"/>
        <w:ind w:left="38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Solid electrolytes and their applications, Subbarao, E. (Ed.). 2012, Springer Science &amp;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Business Media </w:t>
      </w:r>
      <w:r>
        <w:br/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Self‐healing materials, Advanced Materials, 22(47), 5424-5430, Hager, M. D., Greil,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P., Leyens, C., van der Zwaag, S., &amp; Schubert, U. S. (2010).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0" w:after="0"/>
        <w:ind w:left="38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Self-healing materials: fundamentals, design strategies, and applications (pp. 138-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217), Ghosh, S. K. (Ed.), 2009, Weinheim: Wiley-vch </w:t>
      </w:r>
      <w:r>
        <w:br/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Inorganic solids: an introduction to concepts in solid-state structural chemistry,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Adams, D. M. (1974), John Wiley &amp; Sons </w:t>
      </w:r>
      <w:r>
        <w:br/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292A42"/>
          <w:sz w:val="24"/>
        </w:rPr>
        <w:t xml:space="preserve">Introduction to Nanotechnology, </w:t>
      </w:r>
      <w:r>
        <w:rPr>
          <w:rFonts w:ascii="TimesNewRomanPSMT" w:hAnsi="TimesNewRomanPSMT" w:eastAsia="TimesNewRomanPSMT"/>
          <w:b w:val="0"/>
          <w:i w:val="0"/>
          <w:color w:val="414245"/>
          <w:sz w:val="24"/>
        </w:rPr>
        <w:t xml:space="preserve">Charles P. Poole Jr., Frank J. Owens, 2003,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John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Wiley &amp; Sons </w:t>
      </w:r>
      <w:r>
        <w:br/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Shriver and Atkins' inorganic chemistry, Atkins, P., &amp; Overton, T., 2010, Oxford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University Press, USA.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0" w:after="0"/>
        <w:ind w:left="38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Descriptive inorganic, coordination, and solid state chemistry, Rodgers, G. E., 2011,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Cengage Learning.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0" w:after="0"/>
        <w:ind w:left="38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Principles of the solid state, Keer, H. V., 1993,  New Age International </w:t>
      </w:r>
      <w:r>
        <w:br/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Introduction to Solids, Azároff, L. V., 1961, American Journal of Physics, 29(9), 647-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647 </w:t>
      </w:r>
      <w:r>
        <w:br/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Materials Science and Engineering, V. Raghavan,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2015, PHI publication </w:t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A textbook of engineering chemistry, DARA, S. S., 2008, S. Chand Publishing </w:t>
      </w:r>
      <w:r>
        <w:rPr>
          <w:rFonts w:ascii="TimesNewRomanPS" w:hAnsi="TimesNewRomanPS" w:eastAsia="TimesNewRomanPS"/>
          <w:b/>
          <w:i w:val="0"/>
          <w:color w:val="222222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Liquid Crystal-Applications And Uses (Volume 1) (Vol. 1), Bahadur, B. (Ed.),1990,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World scientific</w:t>
      </w:r>
    </w:p>
    <w:p>
      <w:pPr>
        <w:sectPr>
          <w:pgSz w:w="11906" w:h="16838"/>
          <w:pgMar w:top="874" w:right="1370" w:bottom="838" w:left="1412" w:header="720" w:footer="720" w:gutter="0"/>
          <w:cols w:space="720" w:num="1" w:equalWidth="0">
            <w:col w:w="9123" w:space="0"/>
            <w:col w:w="9814" w:space="0"/>
            <w:col w:w="9090" w:space="0"/>
            <w:col w:w="9814" w:space="0"/>
            <w:col w:w="9026" w:space="0"/>
            <w:col w:w="9090" w:space="0"/>
            <w:col w:w="9814" w:space="0"/>
            <w:col w:w="9108" w:space="0"/>
            <w:col w:w="9090" w:space="0"/>
            <w:col w:w="9814" w:space="0"/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4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Chemistry Lab-Semester-II </w:t>
      </w:r>
    </w:p>
    <w:p>
      <w:pPr>
        <w:autoSpaceDN w:val="0"/>
        <w:autoSpaceDE w:val="0"/>
        <w:widowControl/>
        <w:spacing w:line="276" w:lineRule="exact" w:before="652" w:after="0"/>
        <w:ind w:left="720" w:right="20" w:hanging="36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cell constant and calibration of conductivity meter and determination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normality and amount of the strong acid solution by conductometric titration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against strong base solution. 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4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Determination of the solubility and solubility product of sparingly soluble salt PbSO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conductivity measurements. </w:t>
      </w:r>
    </w:p>
    <w:p>
      <w:pPr>
        <w:autoSpaceDN w:val="0"/>
        <w:autoSpaceDE w:val="0"/>
        <w:widowControl/>
        <w:spacing w:line="276" w:lineRule="exact" w:before="0" w:after="0"/>
        <w:ind w:left="720" w:right="20" w:hanging="36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Standardization of pH meter and determination of the normality and amount of the acids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(mixture of strong and weak acid) solution by pH metric titration against strong base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solution. </w:t>
      </w:r>
    </w:p>
    <w:p>
      <w:pPr>
        <w:autoSpaceDN w:val="0"/>
        <w:tabs>
          <w:tab w:pos="720" w:val="left"/>
        </w:tabs>
        <w:autoSpaceDE w:val="0"/>
        <w:widowControl/>
        <w:spacing w:line="262" w:lineRule="exact" w:before="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formal reduction potential of ferrous-ferric system and concentration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Fe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++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potentiometrically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Qualitative analysis of unknown organic compounds containing monofunctional groups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(carbohydrates, aryl halides, aromatic hydrocarbons, nitro compounds, amines and amides)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simple bifunctional groups, for e.g. salicylic acid, cinnamic acid, nitrophenols etc.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(Minimum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seven)</w:t>
      </w:r>
    </w:p>
    <w:p>
      <w:pPr>
        <w:autoSpaceDN w:val="0"/>
        <w:tabs>
          <w:tab w:pos="284" w:val="left"/>
        </w:tabs>
        <w:autoSpaceDE w:val="0"/>
        <w:widowControl/>
        <w:spacing w:line="274" w:lineRule="exact" w:before="5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 Physical Chemistry; J.B. Yadav, 14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1995, Goel Publishing House. </w:t>
      </w:r>
    </w:p>
    <w:p>
      <w:pPr>
        <w:autoSpaceDN w:val="0"/>
        <w:tabs>
          <w:tab w:pos="644" w:val="left"/>
        </w:tabs>
        <w:autoSpaceDE w:val="0"/>
        <w:widowControl/>
        <w:spacing w:line="276" w:lineRule="exact" w:before="12" w:after="0"/>
        <w:ind w:left="28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Laboratory Manual on Engineering Chemistry;3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S.K.Bhasin, Sudha Rani,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2011, Dhanpatrai Publishing Company. </w:t>
      </w:r>
    </w:p>
    <w:p>
      <w:pPr>
        <w:autoSpaceDN w:val="0"/>
        <w:tabs>
          <w:tab w:pos="644" w:val="left"/>
        </w:tabs>
        <w:autoSpaceDE w:val="0"/>
        <w:widowControl/>
        <w:spacing w:line="276" w:lineRule="exact" w:before="12" w:after="0"/>
        <w:ind w:left="284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Experiments in Physical Chemistry 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Ed.; Garland, C. W.; Nibler, J. W.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Shoemaker, D. P.  McGraw-Hill: New York (2003). </w:t>
      </w:r>
    </w:p>
    <w:p>
      <w:pPr>
        <w:autoSpaceDN w:val="0"/>
        <w:tabs>
          <w:tab w:pos="644" w:val="left"/>
        </w:tabs>
        <w:autoSpaceDE w:val="0"/>
        <w:widowControl/>
        <w:spacing w:line="276" w:lineRule="exact" w:before="10" w:after="0"/>
        <w:ind w:left="28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Text Book on Chemistry Practical;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Bidhan Chandra Ray, Satyanarayan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Das, Reprint 2017, NCBA. </w:t>
      </w:r>
    </w:p>
    <w:p>
      <w:pPr>
        <w:autoSpaceDN w:val="0"/>
        <w:autoSpaceDE w:val="0"/>
        <w:widowControl/>
        <w:spacing w:line="276" w:lineRule="exact" w:before="0" w:after="0"/>
        <w:ind w:left="28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Vogel, A.I. Quantitative Organic Analysis, Part 3, ,2012, 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Practical Organic Chemistry, Mann, F.G. &amp; Saunders, B.C., 2009, Pearson Education </w:t>
      </w:r>
    </w:p>
    <w:sectPr w:rsidR="00FC693F" w:rsidRPr="0006063C" w:rsidSect="00034616">
      <w:pgSz w:w="11906" w:h="16838"/>
      <w:pgMar w:top="1142" w:right="1360" w:bottom="1440" w:left="1440" w:header="720" w:footer="720" w:gutter="0"/>
      <w:cols w:space="720" w:num="1" w:equalWidth="0">
        <w:col w:w="9106" w:space="0"/>
        <w:col w:w="9123" w:space="0"/>
        <w:col w:w="9814" w:space="0"/>
        <w:col w:w="9090" w:space="0"/>
        <w:col w:w="9814" w:space="0"/>
        <w:col w:w="9026" w:space="0"/>
        <w:col w:w="9090" w:space="0"/>
        <w:col w:w="9814" w:space="0"/>
        <w:col w:w="9108" w:space="0"/>
        <w:col w:w="9090" w:space="0"/>
        <w:col w:w="9814" w:space="0"/>
        <w:col w:w="108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