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5788660</wp:posOffset>
            </wp:positionH>
            <wp:positionV relativeFrom="page">
              <wp:posOffset>449580</wp:posOffset>
            </wp:positionV>
            <wp:extent cx="850899" cy="35696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69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0" w:lineRule="exact" w:before="12" w:after="0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FF9900"/>
          <w:sz w:val="52"/>
        </w:rPr>
        <w:t xml:space="preserve">Faculty of Science </w:t>
      </w:r>
      <w:r>
        <w:br/>
      </w:r>
      <w:r>
        <w:rPr>
          <w:rFonts w:ascii="Calibri" w:hAnsi="Calibri" w:eastAsia="Calibri"/>
          <w:b/>
          <w:i w:val="0"/>
          <w:color w:val="212529"/>
          <w:sz w:val="36"/>
        </w:rPr>
        <w:t xml:space="preserve">SHREERAMKRISHNAINSTITUTE OFCOMPUTER EDUCATION </w:t>
      </w:r>
      <w:r>
        <w:rPr>
          <w:rFonts w:ascii="Calibri" w:hAnsi="Calibri" w:eastAsia="Calibri"/>
          <w:b/>
          <w:i w:val="0"/>
          <w:color w:val="212529"/>
          <w:sz w:val="36"/>
        </w:rPr>
        <w:t>AND APPLIED SCIENCES,SURAT</w:t>
      </w:r>
    </w:p>
    <w:p>
      <w:pPr>
        <w:autoSpaceDN w:val="0"/>
        <w:autoSpaceDE w:val="0"/>
        <w:widowControl/>
        <w:spacing w:line="724" w:lineRule="exact" w:before="72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33CC"/>
          <w:sz w:val="52"/>
        </w:rPr>
        <w:t>B.Sc. Microbiology</w:t>
      </w:r>
    </w:p>
    <w:p>
      <w:pPr>
        <w:autoSpaceDN w:val="0"/>
        <w:autoSpaceDE w:val="0"/>
        <w:widowControl/>
        <w:spacing w:line="794" w:lineRule="exact" w:before="776" w:after="0"/>
        <w:ind w:left="2160" w:right="216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 xml:space="preserve">Syllabus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90" w:lineRule="exact" w:before="1262" w:after="0"/>
        <w:ind w:left="288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Calibri" w:hAnsi="Calibri" w:eastAsia="Calibri"/>
          <w:b w:val="0"/>
          <w:i w:val="0"/>
          <w:color w:val="000000"/>
          <w:sz w:val="32"/>
        </w:rPr>
        <w:t>Athwalines, Surat-395001 Gujara</w:t>
      </w:r>
      <w:r>
        <w:rPr>
          <w:rFonts w:ascii="Calibri" w:hAnsi="Calibri" w:eastAsia="Calibri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32"/>
        </w:rPr>
        <w:t>Contact: 7228018498, 728018499. Email:</w:t>
      </w:r>
      <w:r>
        <w:rPr>
          <w:rFonts w:ascii="Calibri" w:hAnsi="Calibri" w:eastAsia="Calibri"/>
          <w:b w:val="0"/>
          <w:i w:val="0"/>
          <w:color w:val="0000FF"/>
          <w:sz w:val="3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574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3"/>
        <w:gridCol w:w="4523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B.Sc.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90" w:lineRule="exact" w:before="41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B.Sc. Microbiology Programme</w:t>
      </w:r>
    </w:p>
    <w:p>
      <w:pPr>
        <w:autoSpaceDN w:val="0"/>
        <w:autoSpaceDE w:val="0"/>
        <w:widowControl/>
        <w:spacing w:line="276" w:lineRule="exact" w:before="26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The Department of Microbiology of SRKI at Sarvajanik University runs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 xml:space="preserve"> a full time three-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>year program of six semesters,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leading to award of Bachelor of Science (B.Sc.) degree in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Microbiology. The curriculum is designed to train the students in basic and advanced areas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keeping in mind the latest advances in the field. Particular emphasis is laid on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practical aspects of the field. Students are taught how to plan experiments, perform them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carefully, analyze the data accurately, and present the results both, qualitatively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quantitatively. The students are offered basic and advanced level courses in Microbial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Diversity, Microbial Physiology, Virology, Immunology, Enzymology, Environmental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Molecular biology, Recombinant DNA technology, Industrial Microbiology,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Food Microbiology etc. During the programme students were also exposing to industrial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relevant field visit.</w:t>
      </w:r>
    </w:p>
    <w:p>
      <w:pPr>
        <w:autoSpaceDN w:val="0"/>
        <w:autoSpaceDE w:val="0"/>
        <w:widowControl/>
        <w:spacing w:line="390" w:lineRule="exact" w:before="21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5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objective of the B.Sc. Microbiology is to equip the students to gain fundamental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knowledge and analytical skills at an advanced level in the field of microbiology.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emphasizes to apply knowledge acquired about prokaryotic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eukaryotic cellular processes, interaction of microorganisms among themselves,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and chemical agents and higher order organisms in environment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systems to various conditions.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laboratory training in addition to theory is included so that the students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acquire the skills to qualify for the positions in industry, clinical laboratory or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further education in a Master program.</w:t>
      </w:r>
    </w:p>
    <w:p>
      <w:pPr>
        <w:autoSpaceDN w:val="0"/>
        <w:autoSpaceDE w:val="0"/>
        <w:widowControl/>
        <w:spacing w:line="388" w:lineRule="exact" w:before="222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146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0" w:val="left"/>
              </w:tabs>
              <w:autoSpaceDE w:val="0"/>
              <w:widowControl/>
              <w:spacing w:line="276" w:lineRule="exact" w:before="10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candidate must have passed 10+2 or an equivalent examination with Biology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one of the subjects.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Vocational course in Home Science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Diploma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Pharmacy.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candidate who has passed equivalent exam from other subjects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boards need to avail eligibility certificate for this programme from the Board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Equivalence (BoE) 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20" w:bottom="1220" w:left="1440" w:header="720" w:footer="720" w:gutter="0"/>
          <w:cols w:space="720" w:num="1" w:equalWidth="0"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398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B.Sc. Microbiology Course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98"/>
        <w:gridCol w:w="1398"/>
        <w:gridCol w:w="1398"/>
        <w:gridCol w:w="1398"/>
        <w:gridCol w:w="1398"/>
        <w:gridCol w:w="1398"/>
        <w:gridCol w:w="1398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27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39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er Title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Ho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/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Credit</w:t>
            </w:r>
          </w:p>
        </w:tc>
      </w:tr>
      <w:tr>
        <w:trPr>
          <w:trHeight w:hRule="exact" w:val="29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Introduction to microbi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&amp;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copy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Cell structure &amp; Anatomy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Biochemistry &amp; Enzymology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Professional Communication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Nutrition &amp; Growth 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croorg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Diversity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Ecology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Science (UGC)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3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Control of microorgani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Taxonomy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Applied Environmental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Food &amp; Dairy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48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Biotec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hnol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Physiology &amp; metabolism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4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Biofertilizers, Biopesticides &amp; Mushroom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cultivation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Nanosciences &amp; Nano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DSC-9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Molecular 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DSC-10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Fundamentals of Immunology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Instrumentation &amp; Techniques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Haematology &amp; Blood banking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Health &amp; Epidemiology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Essential skills in computing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Recombinant DNA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889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1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Cre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</w:t>
            </w:r>
          </w:p>
        </w:tc>
      </w:tr>
      <w:tr>
        <w:trPr>
          <w:trHeight w:hRule="exact" w:val="526"/>
        </w:trPr>
        <w:tc>
          <w:tcPr>
            <w:tcW w:type="dxa" w:w="974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Note: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DSC – Discipline Specific Core, DSE – Discipline Spe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, PA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Enhancement Compulsory Course, SEC - Skill Enhancement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Cours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 - 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798" w:bottom="812" w:left="1322" w:header="720" w:footer="720" w:gutter="0"/>
          <w:cols w:space="720" w:num="1" w:equalWidth="0"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204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807"/>
        <w:gridCol w:w="1807"/>
        <w:gridCol w:w="1807"/>
        <w:gridCol w:w="1807"/>
        <w:gridCol w:w="1807"/>
      </w:tblGrid>
      <w:tr>
        <w:trPr>
          <w:trHeight w:hRule="exact" w:val="286"/>
        </w:trPr>
        <w:tc>
          <w:tcPr>
            <w:tcW w:type="dxa" w:w="8222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3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10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35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al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–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&amp;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II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– III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</w:p>
        </w:tc>
      </w:tr>
      <w:tr>
        <w:trPr>
          <w:trHeight w:hRule="exact" w:val="838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- Voce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86"/>
        </w:trPr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367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662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Syllabus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4867"/>
        <w:gridCol w:w="4867"/>
      </w:tblGrid>
      <w:tr>
        <w:trPr>
          <w:trHeight w:hRule="exact" w:val="466"/>
        </w:trPr>
        <w:tc>
          <w:tcPr>
            <w:tcW w:type="dxa" w:w="5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Sciences</w:t>
            </w:r>
          </w:p>
        </w:tc>
        <w:tc>
          <w:tcPr>
            <w:tcW w:type="dxa" w:w="36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 Microbiology</w:t>
            </w:r>
          </w:p>
        </w:tc>
      </w:tr>
      <w:tr>
        <w:trPr>
          <w:trHeight w:hRule="exact" w:val="466"/>
        </w:trPr>
        <w:tc>
          <w:tcPr>
            <w:tcW w:type="dxa" w:w="5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Microbi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ology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 3</w:t>
            </w:r>
          </w:p>
        </w:tc>
        <w:tc>
          <w:tcPr>
            <w:tcW w:type="dxa" w:w="36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DSC-5</w:t>
            </w:r>
          </w:p>
        </w:tc>
      </w:tr>
      <w:tr>
        <w:trPr>
          <w:trHeight w:hRule="exact" w:val="466"/>
        </w:trPr>
        <w:tc>
          <w:tcPr>
            <w:tcW w:type="dxa" w:w="96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Control of Micro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ganis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ms</w:t>
            </w:r>
          </w:p>
        </w:tc>
      </w:tr>
      <w:tr>
        <w:trPr>
          <w:trHeight w:hRule="exact" w:val="466"/>
        </w:trPr>
        <w:tc>
          <w:tcPr>
            <w:tcW w:type="dxa" w:w="5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36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2218"/>
        </w:trPr>
        <w:tc>
          <w:tcPr>
            <w:tcW w:type="dxa" w:w="96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102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contr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microbial growth is necessary in many practical situations,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thus significant advances in agriculture, medicine, and food science have been made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study of this area of microbiology. Control of microorganisms is essential so as to prevent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transmission of diseases &amp; infection, stop decomposition and spoilage, and prevent unwanted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microbial contamination. Therefore, controlling microbial growth is important in medical field,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pharmaceutical and biotechnology industries, academic research, and food industry. Ever since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microbes were shown to cause diseases, different techniques have been invented to control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spread.</w:t>
            </w:r>
          </w:p>
        </w:tc>
      </w:tr>
      <w:tr>
        <w:trPr>
          <w:trHeight w:hRule="exact" w:val="2578"/>
        </w:trPr>
        <w:tc>
          <w:tcPr>
            <w:tcW w:type="dxa" w:w="96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94" w:lineRule="exact" w:before="0" w:after="0"/>
              <w:ind w:left="45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Compare between disinfectants, antiseptics, and sterilants.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94" w:lineRule="exact" w:before="0" w:after="0"/>
              <w:ind w:left="45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Describe the principles of controlling the presence of microorganisms through physical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chemical agents, that can eliminate or suppress microbial life.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94" w:lineRule="exact" w:before="0" w:after="0"/>
              <w:ind w:left="45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basis of chemotherapeutic control.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94" w:lineRule="exact" w:before="0" w:after="0"/>
              <w:ind w:left="45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 of action of narrow and broad-spectrum antibiotics on gram-positive and gram-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8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negative bacteria.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94" w:lineRule="exact" w:before="0" w:after="0"/>
              <w:ind w:left="45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Mechanism for development of antibiotic resistance and microbial susceptibility.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94" w:lineRule="exact" w:before="0" w:after="0"/>
              <w:ind w:left="45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Methods for determ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microbial susceptibility.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2"/>
        <w:ind w:left="0" w:right="0"/>
      </w:pPr>
    </w:p>
    <w:p>
      <w:pPr>
        <w:sectPr>
          <w:pgSz w:w="11906" w:h="16838"/>
          <w:pgMar w:top="354" w:right="732" w:bottom="1392" w:left="1440" w:header="720" w:footer="720" w:gutter="0"/>
          <w:cols w:space="720" w:num="1" w:equalWidth="0"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06" w:lineRule="exact" w:before="0" w:after="0"/>
        <w:ind w:left="424" w:right="1296" w:hanging="42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Fundamentals of Microbial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Principles of Microbial Control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 Microbial Death Pattern</w:t>
      </w:r>
    </w:p>
    <w:p>
      <w:pPr>
        <w:sectPr>
          <w:type w:val="continuous"/>
          <w:pgSz w:w="11906" w:h="16838"/>
          <w:pgMar w:top="354" w:right="732" w:bottom="1392" w:left="1440" w:header="720" w:footer="720" w:gutter="0"/>
          <w:cols w:space="720" w:num="2" w:equalWidth="0"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978"/>
        <w:ind w:left="0" w:right="7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(Duration:06 Hrs)</w:t>
      </w:r>
    </w:p>
    <w:p>
      <w:pPr>
        <w:sectPr>
          <w:type w:val="nextColumn"/>
          <w:pgSz w:w="11906" w:h="16838"/>
          <w:pgMar w:top="354" w:right="732" w:bottom="1392" w:left="1440" w:header="720" w:footer="720" w:gutter="0"/>
          <w:cols w:space="720" w:num="2" w:equalWidth="0"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326"/>
        <w:ind w:left="424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Conditions Influencing Antimicrobial 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Mode of Action of Antimicrobial Agents</w:t>
      </w:r>
    </w:p>
    <w:p>
      <w:pPr>
        <w:sectPr>
          <w:type w:val="continuous"/>
          <w:pgSz w:w="11906" w:h="16838"/>
          <w:pgMar w:top="354" w:right="732" w:bottom="1392" w:left="1440" w:header="720" w:footer="720" w:gutter="0"/>
          <w:cols w:space="720" w:num="1" w:equalWidth="0"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28" w:lineRule="exact" w:before="0" w:after="0"/>
        <w:ind w:left="360" w:right="1152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Physical Agents of Microbial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Heat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Low Temperature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Radiation</w:t>
      </w:r>
    </w:p>
    <w:p>
      <w:pPr>
        <w:sectPr>
          <w:type w:val="continuous"/>
          <w:pgSz w:w="11906" w:h="16838"/>
          <w:pgMar w:top="354" w:right="732" w:bottom="1392" w:left="1440" w:header="720" w:footer="720" w:gutter="0"/>
          <w:cols w:space="720" w:num="2" w:equalWidth="0"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472"/>
        <w:ind w:left="0" w:right="7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(Duration:09 Hrs)</w:t>
      </w:r>
    </w:p>
    <w:p>
      <w:pPr>
        <w:sectPr>
          <w:type w:val="nextColumn"/>
          <w:pgSz w:w="11906" w:h="16838"/>
          <w:pgMar w:top="354" w:right="732" w:bottom="1392" w:left="1440" w:header="720" w:footer="720" w:gutter="0"/>
          <w:cols w:space="720" w:num="2" w:equalWidth="0"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Sonic and Ultrasonic Waves, Filtration &amp; Osmotic Pressure</w:t>
      </w:r>
    </w:p>
    <w:p>
      <w:pPr>
        <w:sectPr>
          <w:type w:val="continuous"/>
          <w:pgSz w:w="11906" w:h="16838"/>
          <w:pgMar w:top="354" w:right="732" w:bottom="1392" w:left="1440" w:header="720" w:footer="720" w:gutter="0"/>
          <w:cols w:space="720" w:num="1" w:equalWidth="0"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13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Chemical Agents of Microbial Control - 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414" w:lineRule="exact" w:before="138" w:after="0"/>
        <w:ind w:left="424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Choosing a Microbicidal Chemical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Evaluating the Effectiveness of Chemical Agents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Mechanisms of Action of Chemical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Acids &amp; Alkalis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Alcohols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3.6 Soaps &amp; Detergents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1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Chemical Agents of Microbial Control - II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09 Hrs)</w:t>
      </w:r>
    </w:p>
    <w:p>
      <w:pPr>
        <w:autoSpaceDN w:val="0"/>
        <w:autoSpaceDE w:val="0"/>
        <w:widowControl/>
        <w:spacing w:line="414" w:lineRule="exact" w:before="58" w:after="0"/>
        <w:ind w:left="424" w:right="63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Heavy metals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Halogens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Phenols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Oxidizing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Alkylating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4.6 Dyes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3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Chemotherapeutic Agents &amp; Chemotherapy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414" w:lineRule="exact" w:before="138" w:after="0"/>
        <w:ind w:left="42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History of Chemotherapy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Characteristics of Antibiotics as Chemotherapeutic Agents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Antifungal Chemotherapeutic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Antiparasitic Chemotherapeutic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5.2 Antiviral Chemotherapeutic Agents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3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Antibacterial Chemotherapeutic Agents - 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414" w:lineRule="exact" w:before="58" w:after="0"/>
        <w:ind w:left="42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Mechanisms of Antibacterial Drug Action &amp; Its Spectrum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Bacterial Cell Wall Inhibiting Antibiotics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 Cell Membrane Disrupting Antibiotics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2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Antibacterial Chemotherapeutic Agents - II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414" w:lineRule="exact" w:before="138" w:after="0"/>
        <w:ind w:left="424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Nucleic Acid Synthesis Inhibiting Antibiotics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Protein Synthesis Inhibiting Antibiotics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Metabolic Pathways Inhibiting Antibiotics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Antimetabolites</w:t>
      </w:r>
    </w:p>
    <w:p>
      <w:pPr>
        <w:sectPr>
          <w:pgSz w:w="11906" w:h="16838"/>
          <w:pgMar w:top="354" w:right="1430" w:bottom="1126" w:left="1440" w:header="720" w:footer="720" w:gutter="0"/>
          <w:cols w:space="720" w:num="1" w:equalWidth="0"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  <w:tab w:pos="7080" w:val="left"/>
        </w:tabs>
        <w:autoSpaceDE w:val="0"/>
        <w:widowControl/>
        <w:spacing w:line="364" w:lineRule="exact" w:before="1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Development of Antibiotic Resistance &amp; Microbial Susceptibility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Resistance of Microorganisms to Antibiotic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Mechanisms for Development of Antibiotic Resistance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Determination of Microbial Sensitivities to Antimicrobial Agents</w:t>
      </w:r>
    </w:p>
    <w:p>
      <w:pPr>
        <w:autoSpaceDN w:val="0"/>
        <w:autoSpaceDE w:val="0"/>
        <w:widowControl/>
        <w:spacing w:line="332" w:lineRule="exact" w:before="2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4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Black, J. G., (2014). Microbiology, 9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edition. (ISBN: 978-1-118-74316-4)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Talaro, K.P., and Chess B., (2015). Foundations In Microbiology, 9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edition. 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978–0–07–352260–9)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Wiley, J., &amp; Sherwood, L., (2015). Prescott, Harley, and Klein’s Microbiology, 9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edition. (ISBN:</w:t>
      </w:r>
      <w:r>
        <w:rPr>
          <w:rFonts w:ascii="TimesNewRomanPSMT" w:hAnsi="TimesNewRomanPSMT" w:eastAsia="TimesNewRomanPSMT"/>
          <w:b w:val="0"/>
          <w:i w:val="0"/>
          <w:color w:val="201C20"/>
          <w:sz w:val="24"/>
        </w:rPr>
        <w:t xml:space="preserve"> 978-0-07-340240-6)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Pelczar, Chan and Krieg, (2001). Microbiology-Concepts and Application, 5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edition.</w:t>
      </w:r>
    </w:p>
    <w:p>
      <w:pPr>
        <w:autoSpaceDN w:val="0"/>
        <w:autoSpaceDE w:val="0"/>
        <w:widowControl/>
        <w:spacing w:line="324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 978-0-07-462320-6)</w:t>
      </w:r>
    </w:p>
    <w:p>
      <w:pPr>
        <w:autoSpaceDN w:val="0"/>
        <w:autoSpaceDE w:val="0"/>
        <w:widowControl/>
        <w:spacing w:line="332" w:lineRule="exact" w:before="5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720" w:val="left"/>
          <w:tab w:pos="3646" w:val="left"/>
        </w:tabs>
        <w:autoSpaceDE w:val="0"/>
        <w:widowControl/>
        <w:spacing w:line="414" w:lineRule="exact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Tortora G.J., and Funke B.R. (2016). Microbiology an Introduction, 12th Ed.,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Benjamin Cummings. (ISBN: 9780321929150)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Cowan M. K. and Talaro K. P., (2014). Microbiology-A systems Approach, 4th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 Mc Graw Hill Higher Education. (ISBN: 978-0073402437)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Wiley, J., &amp; Sherwood, L. (2013). Prescott, Harley, and Klein’s Microbiology, 8th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 McGraw-Hill Science/Engineering/Math, (ISBN: 9780071313674)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Powar and Daginawala. (2019). General Microbiology Vol-I,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 Himalaya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 House, Mumbai. (ISBN: 978-93-5024-089-2)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Purohit, S.S. (2006). Microbiology-Fundamentals and Applications-7th 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Agrobios Publications, Delhi. (ISBN: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978-8177542592)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Atlas. R.M. (1995). Principles of Microbiology, 2nd Edition. Wm. C. Brown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Publishers. (ISBN: 9780815108894)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p>
      <w:pPr>
        <w:autoSpaceDN w:val="0"/>
        <w:autoSpaceDE w:val="0"/>
        <w:widowControl/>
        <w:spacing w:line="354" w:lineRule="exact" w:before="148" w:after="0"/>
        <w:ind w:left="424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Effect of antiseptic and disinfectant on bacterial growth by disc method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Effect of Heavy metal on growth of bacteria – Oligo dynamic action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Effect of UV rays on growth of bacteria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Evaluation of Disinfectant by Phenol-coefficient method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Antibiotic susceptibility test by Kirby-bauer method.</w:t>
      </w:r>
    </w:p>
    <w:p>
      <w:pPr>
        <w:autoSpaceDN w:val="0"/>
        <w:autoSpaceDE w:val="0"/>
        <w:widowControl/>
        <w:spacing w:line="322" w:lineRule="exact" w:before="0" w:after="0"/>
        <w:ind w:left="0" w:right="30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354" w:right="1420" w:bottom="798" w:left="1440" w:header="720" w:footer="720" w:gutter="0"/>
          <w:cols w:space="720" w:num="1" w:equalWidth="0"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220"/>
        <w:ind w:left="0" w:right="1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1"/>
        <w:gridCol w:w="4681"/>
      </w:tblGrid>
      <w:tr>
        <w:trPr>
          <w:trHeight w:hRule="exact" w:val="466"/>
        </w:trPr>
        <w:tc>
          <w:tcPr>
            <w:tcW w:type="dxa" w:w="53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39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53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 Sc. Microbiology Sem 3</w:t>
            </w:r>
          </w:p>
        </w:tc>
        <w:tc>
          <w:tcPr>
            <w:tcW w:type="dxa" w:w="39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SC-6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Microbial Taxonomy</w:t>
            </w:r>
          </w:p>
        </w:tc>
      </w:tr>
      <w:tr>
        <w:trPr>
          <w:trHeight w:hRule="exact" w:val="466"/>
        </w:trPr>
        <w:tc>
          <w:tcPr>
            <w:tcW w:type="dxa" w:w="53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39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256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aimed to deliver insights about tools, techniques, strategies and methodologies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classify the microorganisms. Course will also provide detailed knowledge of bacterial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archaeal groups and comprehensive knowledge of protozoa, fungi, algae and virus.</w:t>
            </w:r>
          </w:p>
        </w:tc>
      </w:tr>
      <w:tr>
        <w:trPr>
          <w:trHeight w:hRule="exact" w:val="2560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By the end of this course, student will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Acquire the knowledge about the basis of microbial classification.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 the understanding about three domains of life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Explore detailed features and characteristics of bacteria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 archaeal taxonomy, metabolism and features of archaea.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 the classification, major features of important members of protist, fungi,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algae and viruses.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894"/>
        <w:ind w:left="0" w:right="0"/>
      </w:pPr>
    </w:p>
    <w:p>
      <w:pPr>
        <w:sectPr>
          <w:pgSz w:w="11906" w:h="16838"/>
          <w:pgMar w:top="354" w:right="1262" w:bottom="1082" w:left="1282" w:header="720" w:footer="720" w:gutter="0"/>
          <w:cols w:space="720" w:num="1" w:equalWidth="0"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14" w:lineRule="exact" w:before="0" w:after="0"/>
        <w:ind w:left="518" w:right="1296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Principles of Microbial Taxonomy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Introduction to Microbial Taxonomy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 Taxonomic Ranks</w:t>
      </w:r>
    </w:p>
    <w:p>
      <w:pPr>
        <w:sectPr>
          <w:type w:val="continuous"/>
          <w:pgSz w:w="11906" w:h="16838"/>
          <w:pgMar w:top="354" w:right="1262" w:bottom="1082" w:left="1282" w:header="720" w:footer="720" w:gutter="0"/>
          <w:cols w:space="720" w:num="2" w:equalWidth="0"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044"/>
        <w:ind w:left="0" w:right="2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354" w:right="1262" w:bottom="1082" w:left="1282" w:header="720" w:footer="720" w:gutter="0"/>
          <w:cols w:space="720" w:num="2" w:equalWidth="0"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24" w:lineRule="exact" w:before="0" w:after="0"/>
        <w:ind w:left="518" w:right="40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Classical and Molecular Characteristics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Phylogenetic tree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Concept of Microbial species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1.6 Microbial Phylogeny: Three Domains of Life</w:t>
      </w:r>
    </w:p>
    <w:p>
      <w:pPr>
        <w:autoSpaceDN w:val="0"/>
        <w:tabs>
          <w:tab w:pos="582" w:val="left"/>
          <w:tab w:pos="7238" w:val="left"/>
        </w:tabs>
        <w:autoSpaceDE w:val="0"/>
        <w:widowControl/>
        <w:spacing w:line="456" w:lineRule="exact" w:before="306" w:after="0"/>
        <w:ind w:left="15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Taxonomy of Bacteria: Proteobacteria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Bergey’s Manual of Systematic Bacteriology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 Class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Alphaproteobacteria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Purple Phototrophic Bacteria and Order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Rhizobiales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 Class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Betaproteobacteria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Order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Neisseriales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Order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Nitrosomonadales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Class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Gammaproteobacteria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Order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Enterobacteriales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 Class Deltaproteobacteria: Order Bdellovibrionales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2.6 Class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Epsilonproteobacteria</w:t>
      </w:r>
    </w:p>
    <w:p>
      <w:pPr>
        <w:sectPr>
          <w:type w:val="continuous"/>
          <w:pgSz w:w="11906" w:h="16838"/>
          <w:pgMar w:top="354" w:right="1262" w:bottom="1082" w:left="1282" w:header="720" w:footer="720" w:gutter="0"/>
          <w:cols w:space="720" w:num="1" w:equalWidth="0"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  <w:tab w:pos="780" w:val="left"/>
          <w:tab w:pos="6480" w:val="left"/>
          <w:tab w:pos="6540" w:val="left"/>
        </w:tabs>
        <w:autoSpaceDE w:val="0"/>
        <w:widowControl/>
        <w:spacing w:line="440" w:lineRule="exact" w:before="486" w:after="132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Taxonomy of Bacteria: Deeply Branching, Photosynthetic and Non-proteal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Gram negative bacteria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 Deeply Branching Bacteria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: Deinococcus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Thermus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Photosynthetic Bacteria : Cyanobacteria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Chlamydias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Spirochaetes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Bacteroides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Flavobacterium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Taxonomy of Bacteria: Low and High G+C Gram positive Bacteria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 Nonsporulating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Firmicutes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Staphylococcus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Micrococcus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Lactobacillus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4.2 Endospore-Forming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Firmicutes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Bacillus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Clostridium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Mollicutes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Mycoplasma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Actinobacteria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Coryneform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Bacteria,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Mycobacterium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Actinomycetes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Taxonomy of Archea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Archaeal Taxonomy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Archeal Metabolism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 Phylum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Crenarchaeota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Phylum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Thaumarchaeota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 Phylum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Euryarchaeota</w:t>
      </w:r>
    </w:p>
    <w:p>
      <w:pPr>
        <w:sectPr>
          <w:pgSz w:w="11906" w:h="16838"/>
          <w:pgMar w:top="354" w:right="1430" w:bottom="844" w:left="1440" w:header="720" w:footer="720" w:gutter="0"/>
          <w:cols w:space="720" w:num="1" w:equalWidth="0"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92" w:lineRule="exact" w:before="0" w:after="0"/>
        <w:ind w:left="0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Taxonomy of Protozoa and Algae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 Classification of Protozoa</w:t>
      </w:r>
    </w:p>
    <w:p>
      <w:pPr>
        <w:sectPr>
          <w:type w:val="continuous"/>
          <w:pgSz w:w="11906" w:h="16838"/>
          <w:pgMar w:top="354" w:right="1430" w:bottom="844" w:left="1440" w:header="720" w:footer="720" w:gutter="0"/>
          <w:cols w:space="720" w:num="2" w:equalWidth="0"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86"/>
        <w:ind w:left="0" w:right="6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sectPr>
          <w:type w:val="nextColumn"/>
          <w:pgSz w:w="11906" w:h="16838"/>
          <w:pgMar w:top="354" w:right="1430" w:bottom="844" w:left="1440" w:header="720" w:footer="720" w:gutter="0"/>
          <w:cols w:space="720" w:num="2" w:equalWidth="0"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20" w:val="left"/>
          <w:tab w:pos="6480" w:val="left"/>
        </w:tabs>
        <w:autoSpaceDE w:val="0"/>
        <w:widowControl/>
        <w:spacing w:line="442" w:lineRule="exact" w:before="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Algal Nomenclature and basis of algal classification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Classification of algae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Chlorophyta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Rhodophyta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Phaeophyta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Chrysophyta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Taxonomy of Fungi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Classification of fungi and their general characteristics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7.2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Chytridiomycota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7.3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Zygomycota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Glomeromycota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7.5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Ascomycota</w:t>
      </w:r>
    </w:p>
    <w:p>
      <w:pPr>
        <w:sectPr>
          <w:type w:val="continuous"/>
          <w:pgSz w:w="11906" w:h="16838"/>
          <w:pgMar w:top="354" w:right="1430" w:bottom="844" w:left="1440" w:header="720" w:footer="720" w:gutter="0"/>
          <w:cols w:space="720" w:num="1" w:equalWidth="0"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7.6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Basidiomycota</w:t>
      </w:r>
    </w:p>
    <w:p>
      <w:pPr>
        <w:autoSpaceDN w:val="0"/>
        <w:autoSpaceDE w:val="0"/>
        <w:widowControl/>
        <w:spacing w:line="324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7.7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Microsporidia</w:t>
      </w:r>
    </w:p>
    <w:p>
      <w:pPr>
        <w:autoSpaceDN w:val="0"/>
        <w:tabs>
          <w:tab w:pos="6480" w:val="left"/>
        </w:tabs>
        <w:autoSpaceDE w:val="0"/>
        <w:widowControl/>
        <w:spacing w:line="332" w:lineRule="exact" w:before="13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Taxonomy of Virus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322" w:lineRule="exact" w:before="1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8.1 Classification of Virus</w:t>
      </w:r>
    </w:p>
    <w:p>
      <w:pPr>
        <w:autoSpaceDN w:val="0"/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8.2 RNA Virus: General characteristics and important groups</w:t>
      </w:r>
    </w:p>
    <w:p>
      <w:pPr>
        <w:autoSpaceDN w:val="0"/>
        <w:autoSpaceDE w:val="0"/>
        <w:widowControl/>
        <w:spacing w:line="324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8.3 DNA Virus: General characteristics and important groups</w:t>
      </w:r>
    </w:p>
    <w:p>
      <w:pPr>
        <w:autoSpaceDN w:val="0"/>
        <w:autoSpaceDE w:val="0"/>
        <w:widowControl/>
        <w:spacing w:line="324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Emerging viruses</w:t>
      </w:r>
    </w:p>
    <w:p>
      <w:pPr>
        <w:autoSpaceDN w:val="0"/>
        <w:autoSpaceDE w:val="0"/>
        <w:widowControl/>
        <w:spacing w:line="332" w:lineRule="exact" w:before="1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74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Bauman, Robert W.. Microbiology: With Diseases by Body System, 3rd</w:t>
      </w:r>
    </w:p>
    <w:p>
      <w:pPr>
        <w:autoSpaceDN w:val="0"/>
        <w:tabs>
          <w:tab w:pos="2480" w:val="left"/>
          <w:tab w:pos="3406" w:val="left"/>
          <w:tab w:pos="4586" w:val="left"/>
          <w:tab w:pos="4924" w:val="left"/>
          <w:tab w:pos="6132" w:val="left"/>
          <w:tab w:pos="7520" w:val="left"/>
          <w:tab w:pos="8332" w:val="left"/>
        </w:tabs>
        <w:autoSpaceDE w:val="0"/>
        <w:widowControl/>
        <w:spacing w:line="322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Kingdom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Benjamin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Cummings,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</w:t>
      </w:r>
    </w:p>
    <w:p>
      <w:pPr>
        <w:autoSpaceDN w:val="0"/>
        <w:autoSpaceDE w:val="0"/>
        <w:widowControl/>
        <w:spacing w:line="322" w:lineRule="exact" w:before="9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9780321712714)</w:t>
      </w:r>
    </w:p>
    <w:p>
      <w:pPr>
        <w:autoSpaceDN w:val="0"/>
        <w:tabs>
          <w:tab w:pos="1440" w:val="left"/>
          <w:tab w:pos="2256" w:val="left"/>
          <w:tab w:pos="3410" w:val="left"/>
          <w:tab w:pos="3960" w:val="left"/>
          <w:tab w:pos="4776" w:val="left"/>
          <w:tab w:pos="5532" w:val="left"/>
          <w:tab w:pos="5940" w:val="left"/>
          <w:tab w:pos="7524" w:val="left"/>
          <w:tab w:pos="8678" w:val="left"/>
        </w:tabs>
        <w:autoSpaceDE w:val="0"/>
        <w:widowControl/>
        <w:spacing w:line="322" w:lineRule="exact" w:before="34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Black,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Jacquelyn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Black,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Laura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J..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Microbiology: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</w:t>
      </w:r>
    </w:p>
    <w:p>
      <w:pPr>
        <w:autoSpaceDN w:val="0"/>
        <w:tabs>
          <w:tab w:pos="6664" w:val="left"/>
          <w:tab w:pos="8332" w:val="left"/>
        </w:tabs>
        <w:autoSpaceDE w:val="0"/>
        <w:widowControl/>
        <w:spacing w:line="322" w:lineRule="exact" w:before="9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Explorations. 10th Edition, United Kingdom 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Wiley, 2015.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</w:t>
      </w:r>
    </w:p>
    <w:p>
      <w:pPr>
        <w:autoSpaceDN w:val="0"/>
        <w:autoSpaceDE w:val="0"/>
        <w:widowControl/>
        <w:spacing w:line="322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9781118743164)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Michael T. Madigan, Thomas D. Brock, John M. Martinko, David P. Clark,</w:t>
      </w:r>
    </w:p>
    <w:p>
      <w:pPr>
        <w:autoSpaceDN w:val="0"/>
        <w:autoSpaceDE w:val="0"/>
        <w:widowControl/>
        <w:spacing w:line="322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Brock Biology of Microorganisms, 13th Edition, Germany: Benjamin</w:t>
      </w:r>
    </w:p>
    <w:p>
      <w:pPr>
        <w:autoSpaceDN w:val="0"/>
        <w:autoSpaceDE w:val="0"/>
        <w:widowControl/>
        <w:spacing w:line="322" w:lineRule="exact" w:before="9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Cummings, 2012. (ISBN: 9780321649638)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4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Sharma, O. P.. Algae. India: Tata McGraw Hill, 2011. (ISBN: 9780070681941)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Sherwood, Linda., Woolverton, Christopher J.., Willey, Joanne M.. Prescott's</w:t>
      </w:r>
    </w:p>
    <w:p>
      <w:pPr>
        <w:autoSpaceDN w:val="0"/>
        <w:autoSpaceDE w:val="0"/>
        <w:widowControl/>
        <w:spacing w:line="322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Microbiology, 10th Edition, Singapore: McGraw-Hill Education, 2017. (ISBN:</w:t>
      </w:r>
    </w:p>
    <w:p>
      <w:pPr>
        <w:autoSpaceDN w:val="0"/>
        <w:autoSpaceDE w:val="0"/>
        <w:widowControl/>
        <w:spacing w:line="322" w:lineRule="exact" w:before="9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9789813151260)</w:t>
      </w:r>
    </w:p>
    <w:p>
      <w:pPr>
        <w:autoSpaceDN w:val="0"/>
        <w:autoSpaceDE w:val="0"/>
        <w:widowControl/>
        <w:spacing w:line="332" w:lineRule="exact" w:before="5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autoSpaceDE w:val="0"/>
        <w:widowControl/>
        <w:spacing w:line="324" w:lineRule="exact" w:before="128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Garrity, George M.. Bergey's Manual of Systematic Bacteriology: The archaea</w:t>
      </w:r>
    </w:p>
    <w:p>
      <w:pPr>
        <w:autoSpaceDN w:val="0"/>
        <w:autoSpaceDE w:val="0"/>
        <w:widowControl/>
        <w:spacing w:line="322" w:lineRule="exact" w:before="9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the deeply branching and phototrophic bacteria. United States: Springer, 2001.</w:t>
      </w:r>
    </w:p>
    <w:p>
      <w:pPr>
        <w:autoSpaceDN w:val="0"/>
        <w:autoSpaceDE w:val="0"/>
        <w:widowControl/>
        <w:spacing w:line="324" w:lineRule="exact" w:before="90" w:after="46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 9780387987712)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>
        <w:trPr>
          <w:trHeight w:hRule="exact" w:val="41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Garrity,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George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Bergey's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Manual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Systematic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Bacteriology: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324" w:lineRule="exact" w:before="4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proteobacteria. Part A. Introductory essays. United States: Springer, 2001. (ISBN:</w:t>
      </w:r>
    </w:p>
    <w:p>
      <w:pPr>
        <w:autoSpaceDN w:val="0"/>
        <w:autoSpaceDE w:val="0"/>
        <w:widowControl/>
        <w:spacing w:line="322" w:lineRule="exact" w:before="92" w:after="44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9780387241432)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>
        <w:trPr>
          <w:trHeight w:hRule="exact" w:val="41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Garrity,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George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Bergey's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Manual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Systematic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Bacteriology: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322" w:lineRule="exact" w:before="4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proteobacteria. Part B. The Gammaproteobacteria. United States: Springer, 2001.</w:t>
      </w:r>
    </w:p>
    <w:p>
      <w:pPr>
        <w:autoSpaceDN w:val="0"/>
        <w:autoSpaceDE w:val="0"/>
        <w:widowControl/>
        <w:spacing w:line="324" w:lineRule="exact" w:before="9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 9780387241449)</w:t>
      </w:r>
    </w:p>
    <w:p>
      <w:pPr>
        <w:sectPr>
          <w:pgSz w:w="11906" w:h="16838"/>
          <w:pgMar w:top="354" w:right="1342" w:bottom="916" w:left="1440" w:header="720" w:footer="720" w:gutter="0"/>
          <w:cols w:space="720" w:num="1" w:equalWidth="0"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82"/>
        <w:ind w:left="0" w:right="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1.9999999999999" w:type="dxa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>
        <w:trPr>
          <w:trHeight w:hRule="exact" w:val="43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38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Garrity,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George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Bergey's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Manual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Systematic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Bacteriology: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322" w:lineRule="exact" w:before="44" w:after="0"/>
        <w:ind w:left="10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proteobacteria. Part C. The Alpha-, Beta-, Delta-, and Epsilonproteobacteria.</w:t>
      </w:r>
    </w:p>
    <w:p>
      <w:pPr>
        <w:autoSpaceDN w:val="0"/>
        <w:tabs>
          <w:tab w:pos="1092" w:val="left"/>
        </w:tabs>
        <w:autoSpaceDE w:val="0"/>
        <w:widowControl/>
        <w:spacing w:line="414" w:lineRule="exact" w:before="0" w:after="0"/>
        <w:ind w:left="7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United States: Springer, 2005. (ISBN: 9780387241456)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Gunsalus, Robert P.., Perry, Jerome J.., Lory, Stephen., Staley, James T..</w:t>
      </w:r>
    </w:p>
    <w:p>
      <w:pPr>
        <w:autoSpaceDN w:val="0"/>
        <w:tabs>
          <w:tab w:pos="1092" w:val="left"/>
        </w:tabs>
        <w:autoSpaceDE w:val="0"/>
        <w:widowControl/>
        <w:spacing w:line="414" w:lineRule="exact" w:before="0" w:after="0"/>
        <w:ind w:left="7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Microbial Life, 2nd Edition, United Kingdom: Sinauer Associates, 2007. 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9780878936854)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Ludwig, Wolfgang., Garrity, George., Krieg, Noel R.., Schleifer, Karl-Heinz.,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Boone, David R.., Jones, Dorothy., Rainey, Fred A.., Castenholz, Richard W..,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Bergey, David Hendricks. Bergey's Manual of Systematic Bacteriology: Volume 3: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Firmicutes. Germany: Springer New York, 2001. (ISBN: 9780387684895)</w:t>
      </w:r>
    </w:p>
    <w:p>
      <w:pPr>
        <w:autoSpaceDN w:val="0"/>
        <w:autoSpaceDE w:val="0"/>
        <w:widowControl/>
        <w:spacing w:line="332" w:lineRule="exact" w:before="706" w:after="7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2"/>
        <w:gridCol w:w="4562"/>
      </w:tblGrid>
      <w:tr>
        <w:trPr>
          <w:trHeight w:hRule="exact" w:val="4580"/>
        </w:trPr>
        <w:tc>
          <w:tcPr>
            <w:tcW w:type="dxa" w:w="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0" w:after="0"/>
              <w:ind w:left="0" w:right="25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4)</w:t>
            </w:r>
          </w:p>
          <w:p>
            <w:pPr>
              <w:autoSpaceDN w:val="0"/>
              <w:autoSpaceDE w:val="0"/>
              <w:widowControl/>
              <w:spacing w:line="296" w:lineRule="exact" w:before="119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6)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84" w:after="0"/>
              <w:ind w:left="28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Study of various biochemical tests for identification of bacteria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Study of extracellular enzymatic activity : Amylase, Caseinase, Gelatinase, Lipase,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DNAase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Study of intracellular enzymatic activity: Deaminase, Ornithine Decarboxylase,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Catalase, Dehydrogenase (Resazurin indicator), Oxidase.</w:t>
            </w:r>
          </w:p>
          <w:p>
            <w:pPr>
              <w:autoSpaceDN w:val="0"/>
              <w:autoSpaceDE w:val="0"/>
              <w:widowControl/>
              <w:spacing w:line="298" w:lineRule="exact" w:before="24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Study of pure cultures of bacteria: Gram positive and Gram negative bacteria. (Gram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positive bacteria: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Bacillus subtilis, Bacillus cereus, Bacillus megaterium,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Staphylococcus aureus, Staphylococcus epidermidis,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Gram Negative bacteria: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Escherichia coli, Enterobacter aerogenes, Proteus vulgaris, Pseudomonas aeruginosa,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Serratia marcescens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Isolation and identification of actinomycetes from soil.</w:t>
            </w:r>
          </w:p>
          <w:p>
            <w:pPr>
              <w:autoSpaceDN w:val="0"/>
              <w:autoSpaceDE w:val="0"/>
              <w:widowControl/>
              <w:spacing w:line="298" w:lineRule="exact" w:before="24" w:after="0"/>
              <w:ind w:left="28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Study of permanent slides of Parasite/ Protozoa (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Entamoeba histolytica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Leishmania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donovani, Giardia lamblia/ Giardia intestinalis, Filarial worms, Trypanosoma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gambiense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).</w:t>
            </w:r>
          </w:p>
          <w:p>
            <w:pPr>
              <w:autoSpaceDN w:val="0"/>
              <w:autoSpaceDE w:val="0"/>
              <w:widowControl/>
              <w:spacing w:line="378" w:lineRule="exact" w:before="0" w:after="0"/>
              <w:ind w:left="0" w:right="30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************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354" w:bottom="1440" w:left="1428" w:header="720" w:footer="720" w:gutter="0"/>
          <w:cols w:space="720" w:num="1" w:equalWidth="0"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572"/>
        <w:ind w:left="0" w:right="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1"/>
        <w:gridCol w:w="4681"/>
      </w:tblGrid>
      <w:tr>
        <w:trPr>
          <w:trHeight w:hRule="exact" w:val="466"/>
        </w:trPr>
        <w:tc>
          <w:tcPr>
            <w:tcW w:type="dxa" w:w="53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39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Environmental Science</w:t>
            </w:r>
          </w:p>
        </w:tc>
      </w:tr>
      <w:tr>
        <w:trPr>
          <w:trHeight w:hRule="exact" w:val="466"/>
        </w:trPr>
        <w:tc>
          <w:tcPr>
            <w:tcW w:type="dxa" w:w="53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 Sc. Sem 3</w:t>
            </w:r>
          </w:p>
        </w:tc>
        <w:tc>
          <w:tcPr>
            <w:tcW w:type="dxa" w:w="39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SEC-1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Environ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mental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icr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biology</w:t>
            </w:r>
          </w:p>
        </w:tc>
      </w:tr>
      <w:tr>
        <w:trPr>
          <w:trHeight w:hRule="exact" w:val="466"/>
        </w:trPr>
        <w:tc>
          <w:tcPr>
            <w:tcW w:type="dxa" w:w="53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04+ 02</w:t>
            </w:r>
          </w:p>
        </w:tc>
        <w:tc>
          <w:tcPr>
            <w:tcW w:type="dxa" w:w="39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256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4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94" w:lineRule="exact" w:before="0" w:after="0"/>
              <w:ind w:left="8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understanding of microbiology of air, water and soil</w:t>
            </w:r>
          </w:p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94" w:lineRule="exact" w:before="0" w:after="0"/>
              <w:ind w:left="8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Knowing microbial hazards of environmental origin</w:t>
            </w:r>
          </w:p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94" w:lineRule="exact" w:before="0" w:after="0"/>
              <w:ind w:left="8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Knowing treatment of drinking water</w:t>
            </w:r>
          </w:p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94" w:lineRule="exact" w:before="0" w:after="0"/>
              <w:ind w:left="8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Having basic concept of indicator microorganisms</w:t>
            </w:r>
          </w:p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94" w:lineRule="exact" w:before="0" w:after="0"/>
              <w:ind w:left="8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Learning sampling and cultural methods for the detection of microorganisms in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environmental samples</w:t>
            </w:r>
          </w:p>
        </w:tc>
      </w:tr>
    </w:tbl>
    <w:p>
      <w:pPr>
        <w:autoSpaceDN w:val="0"/>
        <w:autoSpaceDE w:val="0"/>
        <w:widowControl/>
        <w:spacing w:line="332" w:lineRule="exact" w:before="422" w:after="0"/>
        <w:ind w:left="1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Unit-1: Soil Microbiology</w:t>
      </w:r>
    </w:p>
    <w:p>
      <w:pPr>
        <w:autoSpaceDN w:val="0"/>
        <w:autoSpaceDE w:val="0"/>
        <w:widowControl/>
        <w:spacing w:line="414" w:lineRule="exact" w:before="134" w:after="0"/>
        <w:ind w:left="52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Historical perspective and modern environmental microbiology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Soil as a microbial environment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Microorganisms in surface soils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Distribution of microorganisms in soil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1.5 Microorganisms in subsurface environment</w:t>
      </w:r>
    </w:p>
    <w:p>
      <w:pPr>
        <w:autoSpaceDN w:val="0"/>
        <w:autoSpaceDE w:val="0"/>
        <w:widowControl/>
        <w:spacing w:line="332" w:lineRule="exact" w:before="500" w:after="0"/>
        <w:ind w:left="1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Unit-2 :Aeromicrobiology</w:t>
      </w:r>
    </w:p>
    <w:p>
      <w:pPr>
        <w:autoSpaceDN w:val="0"/>
        <w:autoSpaceDE w:val="0"/>
        <w:widowControl/>
        <w:spacing w:line="414" w:lineRule="exact" w:before="40" w:after="0"/>
        <w:ind w:left="526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Important airborne pathogens and toxins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Aerosols and their nature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Bioaerosol control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Biosafety in laboratory</w:t>
      </w:r>
    </w:p>
    <w:p>
      <w:pPr>
        <w:autoSpaceDN w:val="0"/>
        <w:autoSpaceDE w:val="0"/>
        <w:widowControl/>
        <w:spacing w:line="412" w:lineRule="exact" w:before="286" w:after="0"/>
        <w:ind w:left="526" w:right="3888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Aquatic Microbiology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Introduction to aquatic microbiology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Microbial habitats in the Aquatic Environments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Aquatic Environments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Aquatic microbes as future foods</w:t>
      </w:r>
    </w:p>
    <w:p>
      <w:pPr>
        <w:sectPr>
          <w:pgSz w:w="11906" w:h="16838"/>
          <w:pgMar w:top="354" w:right="1270" w:bottom="864" w:left="1274" w:header="720" w:footer="720" w:gutter="0"/>
          <w:cols w:space="720" w:num="1" w:equalWidth="0"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32" w:lineRule="exact" w:before="586" w:after="0"/>
        <w:ind w:left="360" w:right="4032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Environmentally Transmitted Pathogens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Environmentally transmitted bacteria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Parasitology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Environmentally transmitted viruses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Transport of pathogens in environment</w:t>
      </w:r>
    </w:p>
    <w:p>
      <w:pPr>
        <w:autoSpaceDN w:val="0"/>
        <w:autoSpaceDE w:val="0"/>
        <w:widowControl/>
        <w:spacing w:line="420" w:lineRule="exact" w:before="330" w:after="0"/>
        <w:ind w:left="360" w:right="4752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Indicator Microorganisms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Coliforms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Fecal Streptococci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Other potential indicator organisms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Standards and criteria for indicators</w:t>
      </w:r>
    </w:p>
    <w:p>
      <w:pPr>
        <w:autoSpaceDN w:val="0"/>
        <w:autoSpaceDE w:val="0"/>
        <w:widowControl/>
        <w:spacing w:line="440" w:lineRule="exact" w:before="256" w:after="0"/>
        <w:ind w:left="360" w:right="4320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Drinking Water Treatment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Water treatment processes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Water treatment requirements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Water distribution systems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Microbial growth in distribution systems</w:t>
      </w:r>
    </w:p>
    <w:p>
      <w:pPr>
        <w:autoSpaceDN w:val="0"/>
        <w:autoSpaceDE w:val="0"/>
        <w:widowControl/>
        <w:spacing w:line="440" w:lineRule="exact" w:before="310" w:after="0"/>
        <w:ind w:left="360" w:right="3168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:Environmental Sample Collection and Processing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Sampling of soils and sediments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Sampling strategies and methods for water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Devices for collection of air samples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Detection of microorganisms on fomites</w:t>
      </w:r>
    </w:p>
    <w:p>
      <w:pPr>
        <w:autoSpaceDN w:val="0"/>
        <w:autoSpaceDE w:val="0"/>
        <w:widowControl/>
        <w:spacing w:line="440" w:lineRule="exact" w:before="310" w:after="0"/>
        <w:ind w:left="360" w:right="2880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:Cultural Methods for Detection of Microorganisms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Cultural methods for bacteria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Culture media for bacteria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Cultural methods for fungi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Cultural methods for algae and cyanobacteria</w:t>
      </w: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3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 Books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132" w:after="0"/>
        <w:ind w:left="36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Pepper IL, Gerba CP, Gentry TJ, Maier RM, editors. Environmental microbiology.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Academic press; 2011 Oct 13.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978-0123705198</w:t>
      </w:r>
    </w:p>
    <w:p>
      <w:pPr>
        <w:autoSpaceDN w:val="0"/>
        <w:autoSpaceDE w:val="0"/>
        <w:widowControl/>
        <w:spacing w:line="332" w:lineRule="exact" w:before="65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p>
      <w:pPr>
        <w:autoSpaceDN w:val="0"/>
        <w:tabs>
          <w:tab w:pos="3650" w:val="left"/>
        </w:tabs>
        <w:autoSpaceDE w:val="0"/>
        <w:widowControl/>
        <w:spacing w:line="410" w:lineRule="exact" w:before="154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Heterotrophic plate count of soils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Study of microorganisms present in ambient air by settling plate method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Enumeration of coliforms by MPN method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***************</w:t>
      </w: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036" w:space="0"/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460"/>
        <w:ind w:left="0" w:right="2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8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8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3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SC-3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Food and Dairy Microbiology</w:t>
            </w:r>
          </w:p>
        </w:tc>
      </w:tr>
      <w:tr>
        <w:trPr>
          <w:trHeight w:hRule="exact" w:val="468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02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241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</w:p>
          <w:p>
            <w:pPr>
              <w:autoSpaceDN w:val="0"/>
              <w:autoSpaceDE w:val="0"/>
              <w:widowControl/>
              <w:spacing w:line="298" w:lineRule="exact" w:before="154" w:after="0"/>
              <w:ind w:left="104" w:right="1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paper covers the principles of food fermentation and the role of beneficial microbes;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role of microorganisms and food spoilage; pathogenic microorganisms, infection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intoxication, the principles to control microbial growth; as well as food safety and quality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management. Provide students with theoretical knowledge and practical abilities required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 in the food industry, research centers, and food-related national and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organizations.</w:t>
            </w:r>
          </w:p>
        </w:tc>
      </w:tr>
      <w:tr>
        <w:trPr>
          <w:trHeight w:hRule="exact" w:val="2812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6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4.00000000000006" w:type="dxa"/>
            </w:tblPr>
            <w:tblGrid>
              <w:gridCol w:w="4661"/>
              <w:gridCol w:w="4661"/>
            </w:tblGrid>
            <w:tr>
              <w:trPr>
                <w:trHeight w:hRule="exact" w:val="2420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4" w:after="0"/>
                    <w:ind w:left="0" w:right="9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636" w:after="0"/>
                    <w:ind w:left="0" w:right="9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512" w:after="0"/>
                    <w:ind w:left="0" w:right="9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</w:tc>
              <w:tc>
                <w:tcPr>
                  <w:tcW w:type="dxa" w:w="8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60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Important pathogens and spoilage microorganisms in foods and the conditions,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under which they will grow, conditions under which the important pathogens are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commonly inactivated, killed or made harmless in food.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Principles involving food preservation and understand the role and significance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microbial inactivation, adaptation and environmental factors on growth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response of microorganisms in various environments.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42" w:after="0"/>
                    <w:ind w:left="11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Principles of food science to control and assure the quality of food products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safety standards to be followed in a food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nd 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ry 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ndust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ry.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3121"/>
        <w:gridCol w:w="3121"/>
        <w:gridCol w:w="3121"/>
      </w:tblGrid>
      <w:tr>
        <w:trPr>
          <w:trHeight w:hRule="exact" w:val="496"/>
        </w:trPr>
        <w:tc>
          <w:tcPr>
            <w:tcW w:type="dxa" w:w="6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Unit-1:Introduction and scope of Food Microbiology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14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02 Hrs)</w:t>
            </w:r>
          </w:p>
        </w:tc>
      </w:tr>
      <w:tr>
        <w:trPr>
          <w:trHeight w:hRule="exact" w:val="4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0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7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Definition of food</w:t>
            </w:r>
          </w:p>
        </w:tc>
      </w:tr>
      <w:tr>
        <w:trPr>
          <w:trHeight w:hRule="exact" w:val="4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4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7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4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Food categories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nd its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group</w:t>
            </w:r>
          </w:p>
        </w:tc>
      </w:tr>
      <w:tr>
        <w:trPr>
          <w:trHeight w:hRule="exact" w:val="5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</w:t>
            </w:r>
          </w:p>
        </w:tc>
        <w:tc>
          <w:tcPr>
            <w:tcW w:type="dxa" w:w="7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Food as a substrate for microorganisms</w:t>
            </w:r>
          </w:p>
        </w:tc>
      </w:tr>
      <w:tr>
        <w:trPr>
          <w:trHeight w:hRule="exact" w:val="600"/>
        </w:trPr>
        <w:tc>
          <w:tcPr>
            <w:tcW w:type="dxa" w:w="6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6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Unit-2: Principles of food preservation-I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6" w:after="0"/>
              <w:ind w:left="0" w:right="1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(Duration:04 Hrs)</w:t>
            </w:r>
          </w:p>
        </w:tc>
      </w:tr>
      <w:tr>
        <w:trPr>
          <w:trHeight w:hRule="exact" w:val="4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2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7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2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Introduction to Principles of food preservation</w:t>
            </w:r>
          </w:p>
        </w:tc>
      </w:tr>
      <w:tr>
        <w:trPr>
          <w:trHeight w:hRule="exact" w:val="41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</w:t>
            </w:r>
          </w:p>
        </w:tc>
        <w:tc>
          <w:tcPr>
            <w:tcW w:type="dxa" w:w="7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Asepsis, Removal of microorganisms and Anaerobic condition for</w:t>
            </w:r>
          </w:p>
        </w:tc>
      </w:tr>
    </w:tbl>
    <w:p>
      <w:pPr>
        <w:autoSpaceDN w:val="0"/>
        <w:tabs>
          <w:tab w:pos="1558" w:val="left"/>
        </w:tabs>
        <w:autoSpaceDE w:val="0"/>
        <w:widowControl/>
        <w:spacing w:line="400" w:lineRule="exact" w:before="0" w:after="382"/>
        <w:ind w:left="838" w:right="345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preservation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Preservation by use of high temperature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Preservation by use of low-temperature</w:t>
      </w:r>
    </w:p>
    <w:p>
      <w:pPr>
        <w:sectPr>
          <w:pgSz w:w="11906" w:h="16838"/>
          <w:pgMar w:top="354" w:right="1222" w:bottom="892" w:left="1322" w:header="720" w:footer="720" w:gutter="0"/>
          <w:cols w:space="720" w:num="1" w:equalWidth="0">
            <w:col w:w="9362" w:space="0"/>
            <w:col w:w="9036" w:space="0"/>
            <w:col w:w="9036" w:space="0"/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838" w:val="left"/>
          <w:tab w:pos="1558" w:val="left"/>
        </w:tabs>
        <w:autoSpaceDE w:val="0"/>
        <w:widowControl/>
        <w:spacing w:line="450" w:lineRule="exact" w:before="0" w:after="0"/>
        <w:ind w:left="118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Unit-3:Principles of food preservation-II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Preservation by drying</w:t>
      </w:r>
    </w:p>
    <w:p>
      <w:pPr>
        <w:sectPr>
          <w:type w:val="continuous"/>
          <w:pgSz w:w="11906" w:h="16838"/>
          <w:pgMar w:top="354" w:right="1222" w:bottom="892" w:left="1322" w:header="720" w:footer="720" w:gutter="0"/>
          <w:cols w:space="720" w:num="2" w:equalWidth="0">
            <w:col w:w="5764" w:space="0"/>
            <w:col w:w="3598" w:space="0"/>
            <w:col w:w="9362" w:space="0"/>
            <w:col w:w="9036" w:space="0"/>
            <w:col w:w="9036" w:space="0"/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2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(Duration:03 Hrs)</w:t>
      </w:r>
    </w:p>
    <w:p>
      <w:pPr>
        <w:sectPr>
          <w:type w:val="nextColumn"/>
          <w:pgSz w:w="11906" w:h="16838"/>
          <w:pgMar w:top="354" w:right="1222" w:bottom="892" w:left="1322" w:header="720" w:footer="720" w:gutter="0"/>
          <w:cols w:space="720" w:num="2" w:equalWidth="0">
            <w:col w:w="5764" w:space="0"/>
            <w:col w:w="3598" w:space="0"/>
            <w:col w:w="9362" w:space="0"/>
            <w:col w:w="9036" w:space="0"/>
            <w:col w:w="9036" w:space="0"/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4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Preservation by drying radiation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Preservation by food Additives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4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Unit-4:Microbial spoilage of foods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22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Contamination and Spoilage of food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Spoilage of Cereals and Cereal Products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Spoilage of Vegetables and fruits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Spoilage of canned foods</w:t>
      </w:r>
    </w:p>
    <w:p>
      <w:pPr>
        <w:autoSpaceDN w:val="0"/>
        <w:tabs>
          <w:tab w:pos="1440" w:val="left"/>
        </w:tabs>
        <w:autoSpaceDE w:val="0"/>
        <w:widowControl/>
        <w:spacing w:line="332" w:lineRule="exact" w:before="7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ood in relation to Disease: Food borne Illness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8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Food-borne poisoning, Infection and Intoxication</w:t>
      </w:r>
    </w:p>
    <w:p>
      <w:pPr>
        <w:autoSpaceDN w:val="0"/>
        <w:autoSpaceDE w:val="0"/>
        <w:widowControl/>
        <w:spacing w:line="332" w:lineRule="exact" w:before="3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Unit-5:Use of Microorganisms As Food And Food Suppliments</w:t>
      </w:r>
    </w:p>
    <w:p>
      <w:pPr>
        <w:autoSpaceDN w:val="0"/>
        <w:autoSpaceDE w:val="0"/>
        <w:widowControl/>
        <w:spacing w:line="332" w:lineRule="exact" w:before="0" w:after="0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(Duration:04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27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Single cell protein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List of fermented foods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Production of breads</w:t>
      </w:r>
    </w:p>
    <w:p>
      <w:pPr>
        <w:autoSpaceDN w:val="0"/>
        <w:tabs>
          <w:tab w:pos="7140" w:val="left"/>
        </w:tabs>
        <w:autoSpaceDE w:val="0"/>
        <w:widowControl/>
        <w:spacing w:line="332" w:lineRule="exact" w:before="3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Dairy microbiology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(Duration:06 Hrs)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Definition, types of Milk and its Classification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Indian standards for market milk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Milk Components and its nutritive value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Types of Microorganisms present in Raw Milk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Contamination, Spoilage and Preservation of milk and milk products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Fermented Dairy Products: Fermented milks and Cheese</w:t>
      </w:r>
    </w:p>
    <w:p>
      <w:pPr>
        <w:autoSpaceDN w:val="0"/>
        <w:tabs>
          <w:tab w:pos="7140" w:val="left"/>
        </w:tabs>
        <w:autoSpaceDE w:val="0"/>
        <w:widowControl/>
        <w:spacing w:line="332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Advances in Dairy Technology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(Duration:03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22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Self-life predicting methods for milk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Microbial control by new non thermal methods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Concept of Probiotics</w:t>
      </w:r>
    </w:p>
    <w:p>
      <w:pPr>
        <w:autoSpaceDN w:val="0"/>
        <w:autoSpaceDE w:val="0"/>
        <w:widowControl/>
        <w:spacing w:line="332" w:lineRule="exact" w:before="3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Unit-8: Microbial standards for food safety and quality management</w:t>
      </w:r>
    </w:p>
    <w:p>
      <w:pPr>
        <w:autoSpaceDN w:val="0"/>
        <w:autoSpaceDE w:val="0"/>
        <w:widowControl/>
        <w:spacing w:line="332" w:lineRule="exact" w:before="0" w:after="0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02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22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Indicators of Food Microbial Quality and safety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Hazard Analysis and Critical Control Points (HACCP)</w:t>
      </w:r>
    </w:p>
    <w:p>
      <w:pPr>
        <w:sectPr>
          <w:pgSz w:w="11906" w:h="16838"/>
          <w:pgMar w:top="354" w:right="1430" w:bottom="782" w:left="1440" w:header="720" w:footer="720" w:gutter="0"/>
          <w:cols w:space="720" w:num="1" w:equalWidth="0">
            <w:col w:w="9036" w:space="0"/>
            <w:col w:w="5764" w:space="0"/>
            <w:col w:w="3598" w:space="0"/>
            <w:col w:w="9362" w:space="0"/>
            <w:col w:w="9036" w:space="0"/>
            <w:col w:w="9036" w:space="0"/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9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20" w:val="left"/>
        </w:tabs>
        <w:autoSpaceDE w:val="0"/>
        <w:widowControl/>
        <w:spacing w:line="412" w:lineRule="exact" w:before="15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Doyle M.P. and Buchanan R.L. (2013), Food Microbiology:Fundamentals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Frontiers, American Society for Microbiology; 4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2" w:after="44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Dubey, R.C. (2010). Textbook of Biotechnology, S. Chand. Multicolor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Frazier, W. C. and Westhoff, D. C., (2014). Food Microbiology, 5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 Tata Mc-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Graw Hill, India.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</w:tblGrid>
      <w:tr>
        <w:trPr>
          <w:trHeight w:hRule="exact" w:val="41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James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Jay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(2000)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Modern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Food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Microbiology.6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Ed.,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ASPEN</w:t>
            </w:r>
          </w:p>
        </w:tc>
      </w:tr>
    </w:tbl>
    <w:p>
      <w:pPr>
        <w:autoSpaceDN w:val="0"/>
        <w:autoSpaceDE w:val="0"/>
        <w:widowControl/>
        <w:spacing w:line="324" w:lineRule="exact" w:before="4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PUBLICATION® Aspen Publishers, Inc. Gaithersburg, Maryland.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Manoranjan, K. (2002). Food Analysis and Quality Control,1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Agrotech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 Academy.</w:t>
      </w:r>
    </w:p>
    <w:p>
      <w:pPr>
        <w:autoSpaceDN w:val="0"/>
        <w:autoSpaceDE w:val="0"/>
        <w:widowControl/>
        <w:spacing w:line="410" w:lineRule="exact" w:before="8" w:after="46"/>
        <w:ind w:left="720" w:right="22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Microorganisms in Foods 7: Microbiological Testing in Food Safety Management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International Commission for the Microbiological Specifications of Foods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(ICMSF), Springer; 1st ed. (2012) (ISBN-13 : 978-1461352211).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hRule="exact" w:val="4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18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Modi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H.A.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(2009),Dairy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Microbiology,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pointer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publishers,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ISBN-13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978-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398" w:lineRule="exact" w:before="0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8179102893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Robinson, R. K. (Ed.). (2005).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Dairy microbiology handbook: the microbiology of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milk and milk products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John Wiley &amp; Sons.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Singh B.D. (2010),Biotechnology expanding Horizons, kalyani publishers, ISBN-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 : 978-8127261535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Sukumar De. (2013). Outlines of Dairy Technology, Oxford university. (ISBN:978-0-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19561194-6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Wiley, J., Sherwood, L. &amp; Woolverton C., (2017). Prescott, Harley, and Klein’s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Microbiology, 10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 McGraw-Hill Science/Engineering/Math.</w:t>
      </w:r>
    </w:p>
    <w:p>
      <w:pPr>
        <w:autoSpaceDN w:val="0"/>
        <w:autoSpaceDE w:val="0"/>
        <w:widowControl/>
        <w:spacing w:line="332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15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Adams, M. R., &amp; Moss, M. O. (2003).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Food microbiology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PANIMA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CORPORATION;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Ed.( ISBN-13 : 978-8186535370)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Marth, E. H., &amp; Steele, J. (Eds.). (2001).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Applied dairy microbiology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CRC Press.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Pelczar, M. J., &amp; Chan, E. C. S. (1998).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Microbiology,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5Ed., Tata-McGraw-Hill.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Purohit, S. S., (2006).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Microbiology: Fundamentals and Applications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7Ed., Agrobios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(India).</w:t>
      </w:r>
    </w:p>
    <w:p>
      <w:pPr>
        <w:sectPr>
          <w:pgSz w:w="11906" w:h="16838"/>
          <w:pgMar w:top="354" w:right="1420" w:bottom="862" w:left="1440" w:header="720" w:footer="720" w:gutter="0"/>
          <w:cols w:space="720" w:num="1" w:equalWidth="0">
            <w:col w:w="9046" w:space="0"/>
            <w:col w:w="9036" w:space="0"/>
            <w:col w:w="5764" w:space="0"/>
            <w:col w:w="3598" w:space="0"/>
            <w:col w:w="9362" w:space="0"/>
            <w:col w:w="9036" w:space="0"/>
            <w:col w:w="9036" w:space="0"/>
            <w:col w:w="9362" w:space="0"/>
            <w:col w:w="9124" w:space="0"/>
            <w:col w:w="9124" w:space="0"/>
            <w:col w:w="9036" w:space="0"/>
            <w:col w:w="5350" w:space="0"/>
            <w:col w:w="3685" w:space="0"/>
            <w:col w:w="9036" w:space="0"/>
            <w:col w:w="9362" w:space="0"/>
            <w:col w:w="5820" w:space="0"/>
            <w:col w:w="3542" w:space="0"/>
            <w:col w:w="9362" w:space="0"/>
            <w:col w:w="9046" w:space="0"/>
            <w:col w:w="9036" w:space="0"/>
            <w:col w:w="9734" w:space="0"/>
            <w:col w:w="5872" w:space="0"/>
            <w:col w:w="3862" w:space="0"/>
            <w:col w:w="9734" w:space="0"/>
            <w:col w:w="5796" w:space="0"/>
            <w:col w:w="3938" w:space="0"/>
            <w:col w:w="9734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Spreer, E. (2017).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Milk and dairy product technology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Routledge.</w:t>
      </w:r>
    </w:p>
    <w:p>
      <w:pPr>
        <w:autoSpaceDN w:val="0"/>
        <w:tabs>
          <w:tab w:pos="720" w:val="left"/>
        </w:tabs>
        <w:autoSpaceDE w:val="0"/>
        <w:widowControl/>
        <w:spacing w:line="412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Walstra, P., Walstra, P., Wouters, J. T., &amp; Geurts, T. J. (2005).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Dairy science and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technology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CRC press.</w:t>
      </w:r>
    </w:p>
    <w:sectPr w:rsidR="00FC693F" w:rsidRPr="0006063C" w:rsidSect="00034616">
      <w:pgSz w:w="11906" w:h="16838"/>
      <w:pgMar w:top="354" w:right="1422" w:bottom="1440" w:left="1440" w:header="720" w:footer="720" w:gutter="0"/>
      <w:cols w:space="720" w:num="1" w:equalWidth="0">
        <w:col w:w="9044" w:space="0"/>
        <w:col w:w="9046" w:space="0"/>
        <w:col w:w="9036" w:space="0"/>
        <w:col w:w="5764" w:space="0"/>
        <w:col w:w="3598" w:space="0"/>
        <w:col w:w="9362" w:space="0"/>
        <w:col w:w="9036" w:space="0"/>
        <w:col w:w="9036" w:space="0"/>
        <w:col w:w="9362" w:space="0"/>
        <w:col w:w="9124" w:space="0"/>
        <w:col w:w="9124" w:space="0"/>
        <w:col w:w="9036" w:space="0"/>
        <w:col w:w="5350" w:space="0"/>
        <w:col w:w="3685" w:space="0"/>
        <w:col w:w="9036" w:space="0"/>
        <w:col w:w="9362" w:space="0"/>
        <w:col w:w="5820" w:space="0"/>
        <w:col w:w="3542" w:space="0"/>
        <w:col w:w="9362" w:space="0"/>
        <w:col w:w="9046" w:space="0"/>
        <w:col w:w="9036" w:space="0"/>
        <w:col w:w="9734" w:space="0"/>
        <w:col w:w="5872" w:space="0"/>
        <w:col w:w="3862" w:space="0"/>
        <w:col w:w="9734" w:space="0"/>
        <w:col w:w="5796" w:space="0"/>
        <w:col w:w="3938" w:space="0"/>
        <w:col w:w="9734" w:space="0"/>
        <w:col w:w="9036" w:space="0"/>
        <w:col w:w="9786" w:space="0"/>
        <w:col w:w="904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