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6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2112010</wp:posOffset>
            </wp:positionH>
            <wp:positionV relativeFrom="page">
              <wp:posOffset>914400</wp:posOffset>
            </wp:positionV>
            <wp:extent cx="3336290" cy="211616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11616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2379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23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720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FF9900"/>
          <w:sz w:val="52"/>
        </w:rPr>
        <w:t>Faculty of Science</w:t>
      </w:r>
    </w:p>
    <w:p>
      <w:pPr>
        <w:autoSpaceDN w:val="0"/>
        <w:autoSpaceDE w:val="0"/>
        <w:widowControl/>
        <w:spacing w:line="414" w:lineRule="exact" w:before="550" w:after="0"/>
        <w:ind w:left="288" w:right="288" w:firstLine="0"/>
        <w:jc w:val="center"/>
      </w:pPr>
      <w:r>
        <w:rPr>
          <w:rFonts w:ascii="TimesNewRomanPS" w:hAnsi="TimesNewRomanPS" w:eastAsia="TimesNewRomanPS"/>
          <w:b/>
          <w:i w:val="0"/>
          <w:color w:val="212529"/>
          <w:sz w:val="36"/>
        </w:rPr>
        <w:t xml:space="preserve">SHREE RAMKRISHNA INSTITUTE OF COMPUTER </w:t>
      </w:r>
      <w:r>
        <w:rPr>
          <w:rFonts w:ascii="TimesNewRomanPS" w:hAnsi="TimesNewRomanPS" w:eastAsia="TimesNewRomanPS"/>
          <w:b/>
          <w:i w:val="0"/>
          <w:color w:val="212529"/>
          <w:sz w:val="36"/>
        </w:rPr>
        <w:t>EDUCATION AND APPLIED SCIENCES, SURAT</w:t>
      </w:r>
    </w:p>
    <w:p>
      <w:pPr>
        <w:autoSpaceDN w:val="0"/>
        <w:autoSpaceDE w:val="0"/>
        <w:widowControl/>
        <w:spacing w:line="720" w:lineRule="exact" w:before="69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33CC"/>
          <w:sz w:val="52"/>
        </w:rPr>
        <w:t>M.Sc. Microbiology</w:t>
      </w:r>
    </w:p>
    <w:p>
      <w:pPr>
        <w:autoSpaceDN w:val="0"/>
        <w:autoSpaceDE w:val="0"/>
        <w:widowControl/>
        <w:spacing w:line="702" w:lineRule="exact" w:before="88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52"/>
        </w:rPr>
        <w:t>Syllabus</w:t>
      </w:r>
    </w:p>
    <w:p>
      <w:pPr>
        <w:autoSpaceDN w:val="0"/>
        <w:autoSpaceDE w:val="0"/>
        <w:widowControl/>
        <w:spacing w:line="702" w:lineRule="exact" w:before="89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52"/>
        </w:rPr>
        <w:t>(Effective from 2021)</w:t>
      </w:r>
    </w:p>
    <w:p>
      <w:pPr>
        <w:autoSpaceDN w:val="0"/>
        <w:autoSpaceDE w:val="0"/>
        <w:widowControl/>
        <w:spacing w:line="366" w:lineRule="exact" w:before="1180" w:after="0"/>
        <w:ind w:left="144" w:right="14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M.T.B College Campus, B/h P.T.Science College, Opp. Chowpati, 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>Athwalines, Surat-395001 Gujara</w:t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hyperlink r:id="rId9" w:history="1">
          <w:r>
            <w:rPr>
              <w:rStyle w:val="Hyperlink"/>
            </w:rPr>
            <w:t xml:space="preserve">t, India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>Contact: 7228018498, 728018499. Email:</w:t>
      </w:r>
      <w:r>
        <w:rPr>
          <w:rFonts w:ascii="TimesNewRomanPSMT" w:hAnsi="TimesNewRomanPSMT" w:eastAsia="TimesNewRomanPSMT"/>
          <w:b w:val="0"/>
          <w:i w:val="0"/>
          <w:color w:val="0000FF"/>
          <w:sz w:val="32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FF"/>
          <w:sz w:val="32"/>
        </w:rPr>
        <w:hyperlink r:id="rId9" w:history="1">
          <w:r>
            <w:rPr>
              <w:rStyle w:val="Hyperlink"/>
            </w:rPr>
            <w:t>info@srki.ac.in</w:t>
          </w:r>
        </w:hyperlink>
      </w:r>
    </w:p>
    <w:p>
      <w:pPr>
        <w:sectPr>
          <w:pgSz w:w="11906" w:h="16838"/>
          <w:pgMar w:top="1440" w:right="1440" w:bottom="1256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394"/>
        <w:ind w:left="0" w:right="2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24"/>
        <w:gridCol w:w="4524"/>
      </w:tblGrid>
      <w:tr>
        <w:trPr>
          <w:trHeight w:hRule="exact" w:val="286"/>
        </w:trPr>
        <w:tc>
          <w:tcPr>
            <w:tcW w:type="dxa" w:w="63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M.Sc. Microbiology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No.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Contents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About M.Sc. Microbiology Programme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Programme Objective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Eligibility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Structure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Evaluation Scheme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Syllabus</w:t>
            </w:r>
          </w:p>
        </w:tc>
      </w:tr>
    </w:tbl>
    <w:p>
      <w:pPr>
        <w:autoSpaceDN w:val="0"/>
        <w:autoSpaceDE w:val="0"/>
        <w:widowControl/>
        <w:spacing w:line="390" w:lineRule="exact" w:before="41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About M.Sc. Microbiology Programme</w:t>
      </w:r>
    </w:p>
    <w:p>
      <w:pPr>
        <w:autoSpaceDN w:val="0"/>
        <w:autoSpaceDE w:val="0"/>
        <w:widowControl/>
        <w:spacing w:line="276" w:lineRule="exact" w:before="26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M.Sc. Microbiology programme offered by Sarvajanik University is of two years’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duration and is divided into four semesters. The various courses of the programme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designed to include classroom teaching and lectures, laboratory work, project work, viva,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seminars, assignments and field trips. Three categories of courses are being offered in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programme: Core courses, Skill enhancement courses and Elective course. A separate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research-based course that leads to a dissertation is also one of the Core Courses offer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final semester.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 The student presents his/ her research orally at the end of the semester, and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>this is coupled to a</w:t>
      </w:r>
      <w:r>
        <w:rPr>
          <w:rFonts w:ascii="TimesNewRomanPS" w:hAnsi="TimesNewRomanPS" w:eastAsia="TimesNewRomanPS"/>
          <w:b w:val="0"/>
          <w:i/>
          <w:color w:val="3A3A36"/>
          <w:sz w:val="24"/>
        </w:rPr>
        <w:t xml:space="preserve"> viva-voce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. This not only equips the student for a career in research/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industry, but also fosters self-confidence and self-reliance in the student as he/she learns to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>work and think independently.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Thirty percent of the total marks for each course will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awarded through Internal Assessment.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 Particular emphasis is laid on the practical aspects of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the field. Students are taught how to plan experiments, perform them carefully, analyze the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>data accurately, and present the results both, qualitatively and quantitatively.</w:t>
      </w:r>
    </w:p>
    <w:p>
      <w:pPr>
        <w:autoSpaceDN w:val="0"/>
        <w:autoSpaceDE w:val="0"/>
        <w:widowControl/>
        <w:spacing w:line="388" w:lineRule="exact" w:before="22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Programme Objective</w:t>
      </w:r>
    </w:p>
    <w:p>
      <w:pPr>
        <w:autoSpaceDN w:val="0"/>
        <w:autoSpaceDE w:val="0"/>
        <w:widowControl/>
        <w:spacing w:line="276" w:lineRule="exact" w:before="258" w:after="0"/>
        <w:ind w:left="720" w:right="20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Through the stimulus of scholarly progression and intellectual development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programme aims to equip students with excellence in education and skills, thus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enabling the student to pursue a career of his/her choice.</w:t>
      </w:r>
    </w:p>
    <w:p>
      <w:pPr>
        <w:autoSpaceDN w:val="0"/>
        <w:autoSpaceDE w:val="0"/>
        <w:widowControl/>
        <w:spacing w:line="276" w:lineRule="exact" w:before="48" w:after="0"/>
        <w:ind w:left="720" w:right="24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cultivating talents and promoting all round personality development through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multi-dimensional education a spirit of self-confidence and self-reliance will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infused in the student.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4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student will be instilled with values of professional ethics and be made ready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contribute to society as responsible individuals.</w:t>
      </w:r>
    </w:p>
    <w:p>
      <w:pPr>
        <w:autoSpaceDN w:val="0"/>
        <w:autoSpaceDE w:val="0"/>
        <w:widowControl/>
        <w:spacing w:line="388" w:lineRule="exact" w:before="218" w:after="17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Eligibility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24"/>
        <w:gridCol w:w="4524"/>
      </w:tblGrid>
      <w:tr>
        <w:trPr>
          <w:trHeight w:hRule="exact" w:val="231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</w:p>
          <w:p>
            <w:pPr>
              <w:autoSpaceDN w:val="0"/>
              <w:autoSpaceDE w:val="0"/>
              <w:widowControl/>
              <w:spacing w:line="294" w:lineRule="exact" w:before="110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8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 candidate must have passed Bachelor’s degree in Microbiology / Medical</w:t>
            </w:r>
          </w:p>
          <w:p>
            <w:pPr>
              <w:autoSpaceDN w:val="0"/>
              <w:tabs>
                <w:tab w:pos="4542" w:val="left"/>
                <w:tab w:pos="5572" w:val="left"/>
                <w:tab w:pos="5922" w:val="left"/>
                <w:tab w:pos="7124" w:val="left"/>
              </w:tabs>
              <w:autoSpaceDE w:val="0"/>
              <w:widowControl/>
              <w:spacing w:line="322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Technology/Biotechnology/Environmental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Science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/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Industrial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Microbiology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/Bioscience / General Science/ Life-Science / Botany/Plant Science/Zoology/Animal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Science/ Biology /Agriculture/Fisheries/Forestry /others.</w:t>
            </w:r>
          </w:p>
          <w:p>
            <w:pPr>
              <w:autoSpaceDN w:val="0"/>
              <w:autoSpaceDE w:val="0"/>
              <w:widowControl/>
              <w:spacing w:line="324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candidate who has passed equivalent exam from other subjects or boards need to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avail eligibility certificate for this programme from the Board of Equivalence (BoE)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 the Sarvajanik University.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18" w:bottom="944" w:left="1440" w:header="720" w:footer="720" w:gutter="0"/>
          <w:cols w:space="720" w:num="1" w:equalWidth="0"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2"/>
        <w:ind w:left="0" w:right="0"/>
      </w:pPr>
    </w:p>
    <w:p>
      <w:pPr>
        <w:sectPr>
          <w:pgSz w:w="11906" w:h="16838"/>
          <w:pgMar w:top="282" w:right="558" w:bottom="1440" w:left="1322" w:header="720" w:footer="720" w:gutter="0"/>
          <w:cols w:space="720" w:num="1" w:equalWidth="0"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88" w:lineRule="exact" w:before="0" w:after="0"/>
        <w:ind w:left="47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D.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M.Sc. Microbiology Course Structure</w:t>
      </w:r>
    </w:p>
    <w:p>
      <w:pPr>
        <w:sectPr>
          <w:type w:val="continuous"/>
          <w:pgSz w:w="11906" w:h="16838"/>
          <w:pgMar w:top="282" w:right="558" w:bottom="1440" w:left="1322" w:header="720" w:footer="720" w:gutter="0"/>
          <w:cols w:space="720" w:num="2" w:equalWidth="0"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88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744"/>
        <w:sectPr>
          <w:type w:val="nextColumn"/>
          <w:pgSz w:w="11906" w:h="16838"/>
          <w:pgMar w:top="282" w:right="558" w:bottom="1440" w:left="1322" w:header="720" w:footer="720" w:gutter="0"/>
          <w:cols w:space="720" w:num="2" w:equalWidth="0"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432"/>
        <w:gridCol w:w="1432"/>
        <w:gridCol w:w="1432"/>
        <w:gridCol w:w="1432"/>
        <w:gridCol w:w="1432"/>
        <w:gridCol w:w="1432"/>
        <w:gridCol w:w="1432"/>
      </w:tblGrid>
      <w:tr>
        <w:trPr>
          <w:trHeight w:hRule="exact" w:val="418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</w:p>
        </w:tc>
        <w:tc>
          <w:tcPr>
            <w:tcW w:type="dxa" w:w="108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Code</w:t>
            </w:r>
          </w:p>
        </w:tc>
        <w:tc>
          <w:tcPr>
            <w:tcW w:type="dxa" w:w="482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Pap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Ti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</w:p>
        </w:tc>
        <w:tc>
          <w:tcPr>
            <w:tcW w:type="dxa" w:w="142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H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o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rs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/Week</w:t>
            </w:r>
          </w:p>
        </w:tc>
        <w:tc>
          <w:tcPr>
            <w:tcW w:type="dxa" w:w="85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</w:t>
            </w:r>
          </w:p>
        </w:tc>
      </w:tr>
      <w:tr>
        <w:trPr>
          <w:trHeight w:hRule="exact" w:val="294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h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Pr</w:t>
            </w:r>
          </w:p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562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DSC-1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Principles of Microbio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ogy &amp;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robi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Diversity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DSC-2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Agriculture &amp; Environmental Microbiology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SEC-1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Molecular biology &amp; Genetic Engineering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DSE-1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64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DSC-3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Microbial Physiology &amp;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sm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DSC-4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Immunology and molecular pathogenesis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SEC-2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Instrumentation and analytical techniques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DSE-2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36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2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DSC-5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Economic Microbiolo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gy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34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DSC-6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Enzyme Technology &amp; Protein Engineering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562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SEC-3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2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Pharmaceutical Microbiology &amp; Drug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Development</w:t>
            </w:r>
          </w:p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18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DSE-3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286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DSC-7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Dissertation</w:t>
            </w:r>
          </w:p>
        </w:tc>
        <w:tc>
          <w:tcPr>
            <w:tcW w:type="dxa" w:w="1420"/>
            <w:gridSpan w:val="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32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</w:t>
            </w:r>
          </w:p>
        </w:tc>
      </w:tr>
      <w:tr>
        <w:trPr>
          <w:trHeight w:hRule="exact" w:val="298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DSC-8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Seminar Presentation</w:t>
            </w:r>
          </w:p>
        </w:tc>
        <w:tc>
          <w:tcPr>
            <w:tcW w:type="dxa" w:w="2864"/>
            <w:gridSpan w:val="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86"/>
        </w:trPr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3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DSC-9</w:t>
            </w:r>
          </w:p>
        </w:tc>
        <w:tc>
          <w:tcPr>
            <w:tcW w:type="dxa" w:w="4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Review of published 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 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</w:p>
        </w:tc>
        <w:tc>
          <w:tcPr>
            <w:tcW w:type="dxa" w:w="2864"/>
            <w:gridSpan w:val="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86"/>
        </w:trPr>
        <w:tc>
          <w:tcPr>
            <w:tcW w:type="dxa" w:w="9138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dit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96</w:t>
            </w:r>
          </w:p>
        </w:tc>
      </w:tr>
      <w:tr>
        <w:trPr>
          <w:trHeight w:hRule="exact" w:val="240"/>
        </w:trPr>
        <w:tc>
          <w:tcPr>
            <w:tcW w:type="dxa" w:w="9988"/>
            <w:gridSpan w:val="7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Note: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DSC – Discipline Specific Core, DSE - – Discipline Spec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ic 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tive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 - 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nha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ment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our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</w:t>
            </w:r>
          </w:p>
        </w:tc>
      </w:tr>
    </w:tbl>
    <w:p>
      <w:pPr>
        <w:autoSpaceDN w:val="0"/>
        <w:autoSpaceDE w:val="0"/>
        <w:widowControl/>
        <w:spacing w:line="4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8.0" w:type="dxa"/>
      </w:tblPr>
      <w:tblGrid>
        <w:gridCol w:w="5013"/>
        <w:gridCol w:w="5013"/>
      </w:tblGrid>
      <w:tr>
        <w:trPr>
          <w:trHeight w:hRule="exact" w:val="286"/>
        </w:trPr>
        <w:tc>
          <w:tcPr>
            <w:tcW w:type="dxa" w:w="12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510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DSE (Any one to be opt)</w:t>
            </w:r>
          </w:p>
        </w:tc>
      </w:tr>
      <w:tr>
        <w:trPr>
          <w:trHeight w:hRule="exact" w:val="1114"/>
        </w:trPr>
        <w:tc>
          <w:tcPr>
            <w:tcW w:type="dxa" w:w="12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510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.99999999999977" w:type="dxa"/>
            </w:tblPr>
            <w:tblGrid>
              <w:gridCol w:w="2551"/>
              <w:gridCol w:w="2551"/>
            </w:tblGrid>
            <w:tr>
              <w:trPr>
                <w:trHeight w:hRule="exact" w:val="1112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50" w:after="0"/>
                    <w:ind w:left="68" w:right="25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4.</w:t>
                  </w:r>
                </w:p>
              </w:tc>
              <w:tc>
                <w:tcPr>
                  <w:tcW w:type="dxa" w:w="4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50" w:after="0"/>
                    <w:ind w:left="290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Food Chemistry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Energy and Environment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Laboratory safety and management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Bioethics &amp; Biosafety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114"/>
        </w:trPr>
        <w:tc>
          <w:tcPr>
            <w:tcW w:type="dxa" w:w="12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510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.99999999999977" w:type="dxa"/>
            </w:tblPr>
            <w:tblGrid>
              <w:gridCol w:w="2551"/>
              <w:gridCol w:w="2551"/>
            </w:tblGrid>
            <w:tr>
              <w:trPr>
                <w:trHeight w:hRule="exact" w:val="1110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68" w:right="25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4.</w:t>
                  </w:r>
                </w:p>
              </w:tc>
              <w:tc>
                <w:tcPr>
                  <w:tcW w:type="dxa" w:w="4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290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Forensic Chemistry &amp; Toxicology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Bioinformatics &amp; Other “OMICS”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IPR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Biostatistics.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094"/>
        </w:trPr>
        <w:tc>
          <w:tcPr>
            <w:tcW w:type="dxa" w:w="12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510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.99999999999977" w:type="dxa"/>
            </w:tblPr>
            <w:tblGrid>
              <w:gridCol w:w="2551"/>
              <w:gridCol w:w="2551"/>
            </w:tblGrid>
            <w:tr>
              <w:trPr>
                <w:trHeight w:hRule="exact" w:val="1112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68" w:right="25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4.</w:t>
                  </w:r>
                </w:p>
              </w:tc>
              <w:tc>
                <w:tcPr>
                  <w:tcW w:type="dxa" w:w="4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290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Forensic biology and DNA typing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Research Methodology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Bioentrepreneurship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Application of Green Chemistry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82" w:right="558" w:bottom="1440" w:left="1322" w:header="720" w:footer="720" w:gutter="0"/>
          <w:cols w:space="720" w:num="1" w:equalWidth="0"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2"/>
        <w:ind w:left="0" w:right="0"/>
      </w:pPr>
    </w:p>
    <w:p>
      <w:pPr>
        <w:sectPr>
          <w:pgSz w:w="11906" w:h="16838"/>
          <w:pgMar w:top="282" w:right="1302" w:bottom="1440" w:left="1288" w:header="720" w:footer="720" w:gutter="0"/>
          <w:cols w:space="720" w:num="1" w:equalWidth="0"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88" w:lineRule="exact" w:before="0" w:after="0"/>
        <w:ind w:left="5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E.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Evaluation Scheme</w:t>
      </w:r>
    </w:p>
    <w:p>
      <w:pPr>
        <w:sectPr>
          <w:type w:val="continuous"/>
          <w:pgSz w:w="11906" w:h="16838"/>
          <w:pgMar w:top="282" w:right="1302" w:bottom="1440" w:left="1288" w:header="720" w:footer="720" w:gutter="0"/>
          <w:cols w:space="720" w:num="2" w:equalWidth="0"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1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46"/>
        <w:sectPr>
          <w:type w:val="nextColumn"/>
          <w:pgSz w:w="11906" w:h="16838"/>
          <w:pgMar w:top="282" w:right="1302" w:bottom="1440" w:left="1288" w:header="720" w:footer="720" w:gutter="0"/>
          <w:cols w:space="720" w:num="2" w:equalWidth="0"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53"/>
        <w:gridCol w:w="1553"/>
        <w:gridCol w:w="1553"/>
        <w:gridCol w:w="1553"/>
        <w:gridCol w:w="1553"/>
        <w:gridCol w:w="1553"/>
      </w:tblGrid>
      <w:tr>
        <w:trPr>
          <w:trHeight w:hRule="exact" w:val="286"/>
        </w:trPr>
        <w:tc>
          <w:tcPr>
            <w:tcW w:type="dxa" w:w="9276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M.Sc. Microbiology</w:t>
            </w:r>
          </w:p>
        </w:tc>
      </w:tr>
      <w:tr>
        <w:trPr>
          <w:trHeight w:hRule="exact" w:val="1390"/>
        </w:trPr>
        <w:tc>
          <w:tcPr>
            <w:tcW w:type="dxa" w:w="14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Evaluation</w:t>
            </w:r>
          </w:p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Criteria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Theory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Dissertation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Seminar/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Review of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published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research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paper</w:t>
            </w:r>
          </w:p>
        </w:tc>
      </w:tr>
      <w:tr>
        <w:trPr>
          <w:trHeight w:hRule="exact" w:val="838"/>
        </w:trPr>
        <w:tc>
          <w:tcPr>
            <w:tcW w:type="dxa" w:w="141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Internal</w:t>
            </w:r>
          </w:p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Continuous &amp;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Comprehensive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(CCE)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140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284"/>
        </w:trPr>
        <w:tc>
          <w:tcPr>
            <w:tcW w:type="dxa" w:w="155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Attendance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</w:tr>
      <w:tr>
        <w:trPr>
          <w:trHeight w:hRule="exact" w:val="286"/>
        </w:trPr>
        <w:tc>
          <w:tcPr>
            <w:tcW w:type="dxa" w:w="155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Assignment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</w:tr>
      <w:tr>
        <w:trPr>
          <w:trHeight w:hRule="exact" w:val="562"/>
        </w:trPr>
        <w:tc>
          <w:tcPr>
            <w:tcW w:type="dxa" w:w="155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Internal Practical Test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Viva – Voce /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</w:tr>
      <w:tr>
        <w:trPr>
          <w:trHeight w:hRule="exact" w:val="286"/>
        </w:trPr>
        <w:tc>
          <w:tcPr>
            <w:tcW w:type="dxa" w:w="14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Internal assessment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</w:tr>
      <w:tr>
        <w:trPr>
          <w:trHeight w:hRule="exact" w:val="286"/>
        </w:trPr>
        <w:tc>
          <w:tcPr>
            <w:tcW w:type="dxa" w:w="14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External</w:t>
            </w:r>
          </w:p>
        </w:tc>
        <w:tc>
          <w:tcPr>
            <w:tcW w:type="dxa" w:w="26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External Evaluation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</w:t>
            </w:r>
          </w:p>
        </w:tc>
      </w:tr>
      <w:tr>
        <w:trPr>
          <w:trHeight w:hRule="exact" w:val="266"/>
        </w:trPr>
        <w:tc>
          <w:tcPr>
            <w:tcW w:type="dxa" w:w="411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Total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200</w:t>
            </w:r>
          </w:p>
        </w:tc>
        <w:tc>
          <w:tcPr>
            <w:tcW w:type="dxa" w:w="15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300</w:t>
            </w:r>
          </w:p>
        </w:tc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82" w:right="1302" w:bottom="1440" w:left="1288" w:header="720" w:footer="720" w:gutter="0"/>
          <w:cols w:space="720" w:num="1" w:equalWidth="0"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442" w:after="0"/>
        <w:ind w:left="7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F.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Syllabus</w:t>
      </w:r>
    </w:p>
    <w:p>
      <w:pPr>
        <w:autoSpaceDN w:val="0"/>
        <w:autoSpaceDE w:val="0"/>
        <w:widowControl/>
        <w:spacing w:line="330" w:lineRule="exact" w:before="270" w:after="332"/>
        <w:ind w:left="3600" w:right="3456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40"/>
        </w:rPr>
        <w:t xml:space="preserve">Semester 3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Economic Microbiology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802"/>
        <w:gridCol w:w="4802"/>
      </w:tblGrid>
      <w:tr>
        <w:trPr>
          <w:trHeight w:hRule="exact" w:val="466"/>
        </w:trPr>
        <w:tc>
          <w:tcPr>
            <w:tcW w:type="dxa" w:w="61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Science</w:t>
            </w:r>
          </w:p>
        </w:tc>
        <w:tc>
          <w:tcPr>
            <w:tcW w:type="dxa" w:w="31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robi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ogy</w:t>
            </w:r>
          </w:p>
        </w:tc>
      </w:tr>
      <w:tr>
        <w:trPr>
          <w:trHeight w:hRule="exact" w:val="466"/>
        </w:trPr>
        <w:tc>
          <w:tcPr>
            <w:tcW w:type="dxa" w:w="61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M. Sc. Microbiology Sem-III</w:t>
            </w:r>
          </w:p>
        </w:tc>
        <w:tc>
          <w:tcPr>
            <w:tcW w:type="dxa" w:w="31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SC-5</w:t>
            </w:r>
          </w:p>
        </w:tc>
      </w:tr>
      <w:tr>
        <w:trPr>
          <w:trHeight w:hRule="exact" w:val="466"/>
        </w:trPr>
        <w:tc>
          <w:tcPr>
            <w:tcW w:type="dxa" w:w="932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Economic Microbiology</w:t>
            </w:r>
          </w:p>
        </w:tc>
      </w:tr>
      <w:tr>
        <w:trPr>
          <w:trHeight w:hRule="exact" w:val="466"/>
        </w:trPr>
        <w:tc>
          <w:tcPr>
            <w:tcW w:type="dxa" w:w="61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 4+2</w:t>
            </w:r>
          </w:p>
        </w:tc>
        <w:tc>
          <w:tcPr>
            <w:tcW w:type="dxa" w:w="31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hour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914"/>
        </w:trPr>
        <w:tc>
          <w:tcPr>
            <w:tcW w:type="dxa" w:w="932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4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introduces to microbial sciences to derive industrial products. It involves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manipulation of micro-organisms to increase yield that economically competitive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commercial scale. Course emphasises on commercial production and applications include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enzymes, antibiotics, hormones, amino acids and many more novel economic microbial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products</w:t>
            </w:r>
          </w:p>
        </w:tc>
      </w:tr>
      <w:tr>
        <w:trPr>
          <w:trHeight w:hRule="exact" w:val="2600"/>
        </w:trPr>
        <w:tc>
          <w:tcPr>
            <w:tcW w:type="dxa" w:w="932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4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4.00000000000006" w:type="dxa"/>
            </w:tblPr>
            <w:tblGrid>
              <w:gridCol w:w="4661"/>
              <w:gridCol w:w="4661"/>
            </w:tblGrid>
            <w:tr>
              <w:trPr>
                <w:trHeight w:hRule="exact" w:val="1988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0" w:after="0"/>
                    <w:ind w:left="240" w:right="110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8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4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Students will be able to explain the production of industrial products from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microorganisms with fermentation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Student will be equipped with the knowledge to use and manipulate microbial sources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for commercial production of various products of human consumption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Students will develop the concepts various aminoacids, organic acids, microbial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polysaccharides and Biofuel’s production methods and applications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tabs>
          <w:tab w:pos="940" w:val="left"/>
          <w:tab w:pos="7180" w:val="left"/>
        </w:tabs>
        <w:autoSpaceDE w:val="0"/>
        <w:widowControl/>
        <w:spacing w:line="316" w:lineRule="exact" w:before="250" w:after="0"/>
        <w:ind w:left="40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1: Introduction to Industrial Microbiology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History of Industrial Microbiology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Major class of products produced by microorganisms on large scale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Fermentation Processes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Metabolites of microorganisms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1.5 Primary and Secondary Metabolites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1.6 Strains used in Screening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1.7 Test Systems.</w:t>
      </w:r>
    </w:p>
    <w:p>
      <w:pPr>
        <w:autoSpaceDN w:val="0"/>
        <w:tabs>
          <w:tab w:pos="760" w:val="left"/>
          <w:tab w:pos="1388" w:val="left"/>
          <w:tab w:pos="7240" w:val="left"/>
        </w:tabs>
        <w:autoSpaceDE w:val="0"/>
        <w:widowControl/>
        <w:spacing w:line="316" w:lineRule="exact" w:before="324" w:after="0"/>
        <w:ind w:left="40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2: Media and Sterilization.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Some potential sources used in components Industrial Media.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use of plant waste materials in Industrial Microbiology Media: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Saccharification of Polysaccharides.</w:t>
      </w:r>
    </w:p>
    <w:p>
      <w:pPr>
        <w:autoSpaceDN w:val="0"/>
        <w:tabs>
          <w:tab w:pos="1388" w:val="left"/>
        </w:tabs>
        <w:autoSpaceDE w:val="0"/>
        <w:widowControl/>
        <w:spacing w:line="318" w:lineRule="exact" w:before="4" w:after="0"/>
        <w:ind w:left="760" w:right="475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Methods of Achieving Sterility.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Aspects of Sterilization in Industry.</w:t>
      </w:r>
    </w:p>
    <w:p>
      <w:pPr>
        <w:sectPr>
          <w:pgSz w:w="11906" w:h="16838"/>
          <w:pgMar w:top="282" w:right="1262" w:bottom="964" w:left="1040" w:header="720" w:footer="720" w:gutter="0"/>
          <w:cols w:space="720" w:num="1" w:equalWidth="0"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6"/>
        <w:ind w:left="0" w:right="0"/>
      </w:pPr>
    </w:p>
    <w:p>
      <w:pPr>
        <w:sectPr>
          <w:pgSz w:w="11906" w:h="16838"/>
          <w:pgMar w:top="284" w:right="1422" w:bottom="730" w:left="1440" w:header="720" w:footer="720" w:gutter="0"/>
          <w:cols w:space="720" w:num="1" w:equalWidth="0"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 3: Strain improvement.</w:t>
      </w:r>
    </w:p>
    <w:p>
      <w:pPr>
        <w:autoSpaceDN w:val="0"/>
        <w:tabs>
          <w:tab w:pos="988" w:val="left"/>
        </w:tabs>
        <w:autoSpaceDE w:val="0"/>
        <w:widowControl/>
        <w:spacing w:line="322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Mutation.</w:t>
      </w:r>
    </w:p>
    <w:p>
      <w:pPr>
        <w:autoSpaceDN w:val="0"/>
        <w:tabs>
          <w:tab w:pos="988" w:val="left"/>
        </w:tabs>
        <w:autoSpaceDE w:val="0"/>
        <w:widowControl/>
        <w:spacing w:line="324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Selection of Mutants.</w:t>
      </w:r>
    </w:p>
    <w:p>
      <w:pPr>
        <w:autoSpaceDN w:val="0"/>
        <w:tabs>
          <w:tab w:pos="988" w:val="left"/>
        </w:tabs>
        <w:autoSpaceDE w:val="0"/>
        <w:widowControl/>
        <w:spacing w:line="322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Recombination.</w:t>
      </w:r>
    </w:p>
    <w:p>
      <w:pPr>
        <w:autoSpaceDN w:val="0"/>
        <w:tabs>
          <w:tab w:pos="988" w:val="left"/>
        </w:tabs>
        <w:autoSpaceDE w:val="0"/>
        <w:widowControl/>
        <w:spacing w:line="324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Regulation.</w:t>
      </w:r>
    </w:p>
    <w:p>
      <w:pPr>
        <w:autoSpaceDN w:val="0"/>
        <w:tabs>
          <w:tab w:pos="988" w:val="left"/>
        </w:tabs>
        <w:autoSpaceDE w:val="0"/>
        <w:widowControl/>
        <w:spacing w:line="322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Gene Technology.</w:t>
      </w:r>
    </w:p>
    <w:p>
      <w:pPr>
        <w:autoSpaceDN w:val="0"/>
        <w:tabs>
          <w:tab w:pos="988" w:val="left"/>
        </w:tabs>
        <w:autoSpaceDE w:val="0"/>
        <w:widowControl/>
        <w:spacing w:line="322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Use of Genetic Methods.</w:t>
      </w:r>
    </w:p>
    <w:p>
      <w:pPr>
        <w:sectPr>
          <w:type w:val="continuous"/>
          <w:pgSz w:w="11906" w:h="16838"/>
          <w:pgMar w:top="284" w:right="1422" w:bottom="730" w:left="1440" w:header="720" w:footer="720" w:gutter="0"/>
          <w:cols w:space="720" w:num="2" w:equalWidth="0"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0" w:after="2206"/>
        <w:ind w:left="0" w:right="22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08 Hrs)</w:t>
      </w:r>
    </w:p>
    <w:p>
      <w:pPr>
        <w:sectPr>
          <w:type w:val="nextColumn"/>
          <w:pgSz w:w="11906" w:h="16838"/>
          <w:pgMar w:top="284" w:right="1422" w:bottom="730" w:left="1440" w:header="720" w:footer="720" w:gutter="0"/>
          <w:cols w:space="720" w:num="2" w:equalWidth="0"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tabs>
          <w:tab w:pos="360" w:val="left"/>
          <w:tab w:pos="988" w:val="left"/>
          <w:tab w:pos="6960" w:val="left"/>
        </w:tabs>
        <w:autoSpaceDE w:val="0"/>
        <w:widowControl/>
        <w:spacing w:line="316" w:lineRule="exact" w:before="16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4: Fermenter Design.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(Duration:10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Basic functions of a fermenter for microbial or animal cell culture.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Aseptic operation and containment.</w:t>
      </w:r>
    </w:p>
    <w:p>
      <w:pPr>
        <w:autoSpaceDN w:val="0"/>
        <w:tabs>
          <w:tab w:pos="988" w:val="left"/>
        </w:tabs>
        <w:autoSpaceDE w:val="0"/>
        <w:widowControl/>
        <w:spacing w:line="316" w:lineRule="exact" w:before="6" w:after="0"/>
        <w:ind w:left="360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Body construction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Aeration and agitation.</w:t>
      </w:r>
    </w:p>
    <w:p>
      <w:pPr>
        <w:autoSpaceDN w:val="0"/>
        <w:tabs>
          <w:tab w:pos="988" w:val="left"/>
        </w:tabs>
        <w:autoSpaceDE w:val="0"/>
        <w:widowControl/>
        <w:spacing w:line="324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Monitoring and control of various parameters.</w:t>
      </w:r>
    </w:p>
    <w:p>
      <w:pPr>
        <w:autoSpaceDN w:val="0"/>
        <w:tabs>
          <w:tab w:pos="360" w:val="left"/>
          <w:tab w:pos="988" w:val="left"/>
          <w:tab w:pos="7094" w:val="left"/>
        </w:tabs>
        <w:autoSpaceDE w:val="0"/>
        <w:widowControl/>
        <w:spacing w:line="316" w:lineRule="exact" w:before="32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5: Industrial Production of Amino acids and Organic acids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Glutamate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 aspartic acid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Lysine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Citric acid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Acetic Acid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Itaconic acid</w:t>
      </w:r>
    </w:p>
    <w:p>
      <w:pPr>
        <w:autoSpaceDN w:val="0"/>
        <w:tabs>
          <w:tab w:pos="360" w:val="left"/>
          <w:tab w:pos="988" w:val="left"/>
        </w:tabs>
        <w:autoSpaceDE w:val="0"/>
        <w:widowControl/>
        <w:spacing w:line="316" w:lineRule="exact" w:before="324" w:after="0"/>
        <w:ind w:left="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6: Industrial Production of Enzymes and Health Care Products (Duration: 08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Hrs)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Amylase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Proteases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Penicillin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Erythropoietin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Ergot alkaloids</w:t>
      </w:r>
    </w:p>
    <w:p>
      <w:pPr>
        <w:autoSpaceDN w:val="0"/>
        <w:tabs>
          <w:tab w:pos="360" w:val="left"/>
          <w:tab w:pos="988" w:val="left"/>
          <w:tab w:pos="7080" w:val="left"/>
        </w:tabs>
        <w:autoSpaceDE w:val="0"/>
        <w:widowControl/>
        <w:spacing w:line="316" w:lineRule="exact" w:before="32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7: Industrial Solvent and Alcoholic Beverages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05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Ethanol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Wine and Beer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Acetone/ Butanol fermentation</w:t>
      </w:r>
    </w:p>
    <w:p>
      <w:pPr>
        <w:autoSpaceDN w:val="0"/>
        <w:tabs>
          <w:tab w:pos="360" w:val="left"/>
          <w:tab w:pos="988" w:val="left"/>
          <w:tab w:pos="7080" w:val="left"/>
        </w:tabs>
        <w:autoSpaceDE w:val="0"/>
        <w:widowControl/>
        <w:spacing w:line="316" w:lineRule="exact" w:before="32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8: Fermented Product of Industrial Importance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Cheese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Sauerkraut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Baker’s Yeast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PHA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Xanthan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Dextran</w:t>
      </w:r>
    </w:p>
    <w:p>
      <w:pPr>
        <w:sectPr>
          <w:type w:val="continuous"/>
          <w:pgSz w:w="11906" w:h="16838"/>
          <w:pgMar w:top="284" w:right="1422" w:bottom="730" w:left="1440" w:header="720" w:footer="720" w:gutter="0"/>
          <w:cols w:space="720" w:num="1" w:equalWidth="0"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30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Books: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190" w:after="0"/>
        <w:ind w:left="360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Creuger W., (2005). Biotechnology: A textbook of industrial microbiology, 3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Ed.,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Panima, New Delhi. ISBN: 9789385998638.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4" w:after="0"/>
        <w:ind w:left="360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Flickinger, M. &amp; Drew, S.(1999) Encyclopedia of Bioprocess Technology,(Volumes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1 - 5) : ISBN 0-471-13822-3.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4" w:after="0"/>
        <w:ind w:left="360" w:right="57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Okafor N., (2007). Modern Industrial Microbiology and Biotechnology, Science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publishers. ISBN: 9781138036147.</w:t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6" w:after="0"/>
        <w:ind w:left="360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Reed J (2004), Prescott &amp; Dunn’s Industrial Microbiology, 4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Ed., CBS Publishers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Stanbury, P.F., (2006). Principles of Fermentation Technology, 2 Ed., Elsevier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Science Ltd. ISBN: 9780750645010.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4" w:after="0"/>
        <w:ind w:left="360" w:right="100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Syed Sajeed Ali, (2016). Fermentation and Industrial Microbiology. ISBN: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9788192756929.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4" w:after="0"/>
        <w:ind w:left="360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Waites, M.J., et al., (2001). Industrial Microbiology, 1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Ed., Blackwell publishing.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ISBN: 0632053070.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14" w:lineRule="exact" w:before="326" w:after="0"/>
        <w:ind w:left="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Further Reading: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A.L. Demain et al (1989),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Novel Microbial Products for Medicine and Agriculture,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Elsevier Science Ltd. ISBN: 978-0444810663.</w:t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6" w:after="0"/>
        <w:ind w:left="360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Alexander N. Glazer &amp; Hiroshi Nikaido (2008),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Microbial Biotechnology,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Cambridge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University Press. ISBN: 978-0521729673.</w:t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8" w:after="0"/>
        <w:ind w:left="360" w:right="72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Patel, A.H., (2012). Industrial Microbiology, 2nd Ed. Macmillan, India. ISBN: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9789385750250.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6" w:after="0"/>
        <w:ind w:left="360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Sivakumaar P.K., Joe M.M. and Sukesh K., (2010), An introduction to industrial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microbiology, 1st Ed., S.Chand publication. ISBN: 9788121935197.</w:t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Srivastva M.L., (2008), Fermentation technology, 1st Ed., Narosa pub. House. ISBN: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9788173198533.</w:t>
      </w:r>
    </w:p>
    <w:p>
      <w:pPr>
        <w:autoSpaceDN w:val="0"/>
        <w:autoSpaceDE w:val="0"/>
        <w:widowControl/>
        <w:spacing w:line="332" w:lineRule="exact" w:before="82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List of Practical</w:t>
      </w:r>
    </w:p>
    <w:p>
      <w:pPr>
        <w:autoSpaceDN w:val="0"/>
        <w:tabs>
          <w:tab w:pos="1440" w:val="left"/>
        </w:tabs>
        <w:autoSpaceDE w:val="0"/>
        <w:widowControl/>
        <w:spacing w:line="316" w:lineRule="exact" w:before="314" w:after="0"/>
        <w:ind w:left="108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Screening of Citric acid / lactic acid, cellulase, amylase and protease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producing microorganisms.</w:t>
      </w:r>
    </w:p>
    <w:p>
      <w:pPr>
        <w:autoSpaceDN w:val="0"/>
        <w:autoSpaceDE w:val="0"/>
        <w:widowControl/>
        <w:spacing w:line="324" w:lineRule="exact" w:before="0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2) Microbial production of penicillin.</w:t>
      </w:r>
    </w:p>
    <w:p>
      <w:pPr>
        <w:autoSpaceDN w:val="0"/>
        <w:tabs>
          <w:tab w:pos="1440" w:val="left"/>
        </w:tabs>
        <w:autoSpaceDE w:val="0"/>
        <w:widowControl/>
        <w:spacing w:line="320" w:lineRule="exact" w:before="2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3) Comparison of Ethanol production using pure carbohydrate and agro industrial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waste.</w:t>
      </w:r>
    </w:p>
    <w:p>
      <w:pPr>
        <w:autoSpaceDN w:val="0"/>
        <w:tabs>
          <w:tab w:pos="1440" w:val="left"/>
        </w:tabs>
        <w:autoSpaceDE w:val="0"/>
        <w:widowControl/>
        <w:spacing w:line="318" w:lineRule="exact" w:before="4" w:after="0"/>
        <w:ind w:left="108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4) Production of fungal amylase by solid state fermentation and its partial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purification.</w:t>
      </w:r>
    </w:p>
    <w:p>
      <w:pPr>
        <w:autoSpaceDN w:val="0"/>
        <w:autoSpaceDE w:val="0"/>
        <w:widowControl/>
        <w:spacing w:line="324" w:lineRule="exact" w:before="312" w:after="0"/>
        <w:ind w:left="0" w:right="309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************</w:t>
      </w:r>
    </w:p>
    <w:p>
      <w:pPr>
        <w:sectPr>
          <w:pgSz w:w="11906" w:h="16838"/>
          <w:pgMar w:top="282" w:right="1422" w:bottom="1162" w:left="1440" w:header="720" w:footer="720" w:gutter="0"/>
          <w:cols w:space="720" w:num="1" w:equalWidth="0"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38.0" w:type="dxa"/>
      </w:tblPr>
      <w:tblGrid>
        <w:gridCol w:w="4681"/>
        <w:gridCol w:w="4681"/>
      </w:tblGrid>
      <w:tr>
        <w:trPr>
          <w:trHeight w:hRule="exact" w:val="1236"/>
        </w:trPr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44" w:after="0"/>
              <w:ind w:left="116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Enzyme Technology and Protein Engineering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21"/>
        <w:gridCol w:w="3121"/>
        <w:gridCol w:w="3121"/>
      </w:tblGrid>
      <w:tr>
        <w:trPr>
          <w:trHeight w:hRule="exact" w:val="466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Science</w:t>
            </w:r>
          </w:p>
        </w:tc>
        <w:tc>
          <w:tcPr>
            <w:tcW w:type="dxa" w:w="32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robi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ogy</w:t>
            </w:r>
          </w:p>
        </w:tc>
      </w:tr>
      <w:tr>
        <w:trPr>
          <w:trHeight w:hRule="exact" w:val="466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M.Sc. Microbiology Sem-III</w:t>
            </w:r>
          </w:p>
        </w:tc>
        <w:tc>
          <w:tcPr>
            <w:tcW w:type="dxa" w:w="32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SC-6</w:t>
            </w:r>
          </w:p>
        </w:tc>
      </w:tr>
      <w:tr>
        <w:trPr>
          <w:trHeight w:hRule="exact" w:val="466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Enzyme Technology and Protein Engineering</w:t>
            </w:r>
          </w:p>
        </w:tc>
      </w:tr>
      <w:tr>
        <w:trPr>
          <w:trHeight w:hRule="exact" w:val="466"/>
        </w:trPr>
        <w:tc>
          <w:tcPr>
            <w:tcW w:type="dxa" w:w="61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4+2</w:t>
            </w:r>
          </w:p>
        </w:tc>
        <w:tc>
          <w:tcPr>
            <w:tcW w:type="dxa" w:w="31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ng hour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914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objective of this paper is to provide detailed knowledge of techniques used in enzyme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protein engineering. Understanding biotechniques is essential to strengthen the knowledge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candidate desired to work in the field of enzyme industry. This course provides basic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understanding various enzymatic techniques and realize the structure-function relationships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proteins.</w:t>
            </w:r>
          </w:p>
        </w:tc>
      </w:tr>
      <w:tr>
        <w:trPr>
          <w:trHeight w:hRule="exact" w:val="3922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0" w:after="6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After successful comple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ourse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understand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4.00000000000006" w:type="dxa"/>
            </w:tblPr>
            <w:tblGrid>
              <w:gridCol w:w="4661"/>
              <w:gridCol w:w="4661"/>
            </w:tblGrid>
            <w:tr>
              <w:trPr>
                <w:trHeight w:hRule="exact" w:val="3266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42" w:lineRule="exact" w:before="0" w:after="0"/>
                    <w:ind w:left="240" w:right="110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8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6" w:lineRule="exact" w:before="14" w:after="0"/>
                    <w:ind w:left="140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Detailed concepts of enzymology and enzyme technology and about production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synthesis of industrially important biological substance.</w:t>
                  </w:r>
                </w:p>
                <w:p>
                  <w:pPr>
                    <w:autoSpaceDN w:val="0"/>
                    <w:autoSpaceDE w:val="0"/>
                    <w:widowControl/>
                    <w:spacing w:line="318" w:lineRule="exact" w:before="16" w:after="0"/>
                    <w:ind w:left="140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Commercial production of enzymes, enzyme engineering, design and construction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novel enzymes and its application in various field.</w:t>
                  </w:r>
                </w:p>
                <w:p>
                  <w:pPr>
                    <w:autoSpaceDN w:val="0"/>
                    <w:autoSpaceDE w:val="0"/>
                    <w:widowControl/>
                    <w:spacing w:line="318" w:lineRule="exact" w:before="16" w:after="0"/>
                    <w:ind w:left="140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Analyze the purity and stability of proteins and explain how to store them in the best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way.</w:t>
                  </w:r>
                </w:p>
                <w:p>
                  <w:pPr>
                    <w:autoSpaceDN w:val="0"/>
                    <w:autoSpaceDE w:val="0"/>
                    <w:widowControl/>
                    <w:spacing w:line="316" w:lineRule="exact" w:before="20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Evaluate and assess current and evolving concepts in Enzyme technology and protein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engineering.</w:t>
                  </w:r>
                </w:p>
                <w:p>
                  <w:pPr>
                    <w:autoSpaceDN w:val="0"/>
                    <w:autoSpaceDE w:val="0"/>
                    <w:widowControl/>
                    <w:spacing w:line="324" w:lineRule="exact" w:before="10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know the role of functional proteins in various field of study.</w:t>
                  </w:r>
                </w:p>
                <w:p>
                  <w:pPr>
                    <w:autoSpaceDN w:val="0"/>
                    <w:autoSpaceDE w:val="0"/>
                    <w:widowControl/>
                    <w:spacing w:line="324" w:lineRule="exact" w:before="12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practice the latest application of protein sci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nc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i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he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i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r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re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rc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h.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tabs>
          <w:tab w:pos="478" w:val="left"/>
          <w:tab w:pos="926" w:val="left"/>
          <w:tab w:pos="7238" w:val="left"/>
        </w:tabs>
        <w:autoSpaceDE w:val="0"/>
        <w:widowControl/>
        <w:spacing w:line="316" w:lineRule="exact" w:before="302" w:after="0"/>
        <w:ind w:left="118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Unit-1: Introduction to Enzyme Technology and Basics of Enzymes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Introduction to Enzyme Technology, Goals and Potential of Biotechnological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Production Processes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History of Enzyme Technology, Biotechnological Processes, Advantages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limitation of Enzyme-Based Production Processes, New or Improved Enzyme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Enzyme Classification, synthesis, structure, function and mechanisms, Specificity,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equilibrium-controlled reactions, Kinetics of Enzyme-Catalyzed Reactions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End Points of Enzyme Processes, Enzyme-Catalyzed Processes, Stability,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Denaturation, and Renaturation of Enzymes, Better Enzymes by Natural Evolution</w:t>
      </w:r>
    </w:p>
    <w:p>
      <w:pPr>
        <w:autoSpaceDN w:val="0"/>
        <w:tabs>
          <w:tab w:pos="478" w:val="left"/>
          <w:tab w:pos="926" w:val="left"/>
          <w:tab w:pos="7258" w:val="left"/>
        </w:tabs>
        <w:autoSpaceDE w:val="0"/>
        <w:widowControl/>
        <w:spacing w:line="316" w:lineRule="exact" w:before="324" w:after="0"/>
        <w:ind w:left="118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Unit-2: Enzyme Discovery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Enzyme Discovery and Strategies for Protein Engineering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Computational Design of Enzymes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Cells Designed by Metabolic Engineering as Biocatalysts for Multienzyme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Biotransformations</w:t>
      </w:r>
    </w:p>
    <w:p>
      <w:pPr>
        <w:sectPr>
          <w:pgSz w:w="11906" w:h="16838"/>
          <w:pgMar w:top="282" w:right="1222" w:bottom="840" w:left="1322" w:header="720" w:footer="720" w:gutter="0"/>
          <w:cols w:space="720" w:num="1" w:equalWidth="0"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4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2.4 Driving forces for biocatalyst development and Novel microbial enzymes</w:t>
      </w:r>
    </w:p>
    <w:p>
      <w:pPr>
        <w:autoSpaceDN w:val="0"/>
        <w:tabs>
          <w:tab w:pos="360" w:val="left"/>
          <w:tab w:pos="720" w:val="left"/>
          <w:tab w:pos="7140" w:val="left"/>
        </w:tabs>
        <w:autoSpaceDE w:val="0"/>
        <w:widowControl/>
        <w:spacing w:line="316" w:lineRule="exact" w:before="32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Unit-3: Industrial Enzymes in Food Applications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Biocatalysts in Baking process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Enzymes in Fruit Juice Production and Fruit Processing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Biocatalysts in Brewing industries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2.4 Application of enzymes in Dairy sector</w:t>
      </w:r>
    </w:p>
    <w:p>
      <w:pPr>
        <w:autoSpaceDN w:val="0"/>
        <w:tabs>
          <w:tab w:pos="360" w:val="left"/>
          <w:tab w:pos="7080" w:val="left"/>
        </w:tabs>
        <w:autoSpaceDE w:val="0"/>
        <w:widowControl/>
        <w:spacing w:line="316" w:lineRule="exact" w:before="32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Unit-4: Industrial Enzymes in Non-food Applications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Application of enzymes in Household Detergents and Automatic Dishwashing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Biocatalysts in Grain Wet-Milling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Role of Enzymes in Animal Feeds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4.4 Enzymes in Textile Production</w:t>
      </w:r>
    </w:p>
    <w:p>
      <w:pPr>
        <w:autoSpaceDN w:val="0"/>
        <w:tabs>
          <w:tab w:pos="360" w:val="left"/>
          <w:tab w:pos="720" w:val="left"/>
          <w:tab w:pos="7080" w:val="left"/>
        </w:tabs>
        <w:autoSpaceDE w:val="0"/>
        <w:widowControl/>
        <w:spacing w:line="316" w:lineRule="exact" w:before="32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Unit-5: Basics of Protein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Protein structure level, Classification, physico-chemical and molecular properties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amino acids and protein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Isolation, extraction and purification of protein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Structure determination and methods of studying protein structure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5.4 Protein folding and Protein stability</w:t>
      </w:r>
    </w:p>
    <w:p>
      <w:pPr>
        <w:autoSpaceDN w:val="0"/>
        <w:tabs>
          <w:tab w:pos="360" w:val="left"/>
          <w:tab w:pos="720" w:val="left"/>
          <w:tab w:pos="7080" w:val="left"/>
        </w:tabs>
        <w:autoSpaceDE w:val="0"/>
        <w:widowControl/>
        <w:spacing w:line="316" w:lineRule="exact" w:before="3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Unit-6: Synthetic Protein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Expanding the Synthetic Protein Universe by Guided Evolutionary Concepts: Direct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evolution, Asexual and Sexual Methods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Random, Focused and Site saturated Mutagenesis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6.3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In vitro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in vivo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homologous and non- homologous recombination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6.4 Rational Designing of Novel Proteins through Computational Approaches</w:t>
      </w:r>
    </w:p>
    <w:p>
      <w:pPr>
        <w:autoSpaceDN w:val="0"/>
        <w:tabs>
          <w:tab w:pos="360" w:val="left"/>
          <w:tab w:pos="720" w:val="left"/>
          <w:tab w:pos="7080" w:val="left"/>
        </w:tabs>
        <w:autoSpaceDE w:val="0"/>
        <w:widowControl/>
        <w:spacing w:line="316" w:lineRule="exact" w:before="3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Unit-7: Generating Fancy Protein Basket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De Novo Designing of Proteins, Examples of De Novo Designed Proteins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Negative Design Methods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Combinatorial/Semi-rational Approach for Protein Designing, Glimpse on Proteins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Engineered by de Novo/Combinatorial Approaches.</w:t>
      </w:r>
    </w:p>
    <w:p>
      <w:pPr>
        <w:autoSpaceDN w:val="0"/>
        <w:autoSpaceDE w:val="0"/>
        <w:widowControl/>
        <w:spacing w:line="318" w:lineRule="exact" w:before="4" w:after="0"/>
        <w:ind w:left="360" w:right="31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Applications of Protein Engineering in various fields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7.4 Patenting of protein</w:t>
      </w:r>
    </w:p>
    <w:p>
      <w:pPr>
        <w:autoSpaceDN w:val="0"/>
        <w:tabs>
          <w:tab w:pos="360" w:val="left"/>
          <w:tab w:pos="720" w:val="left"/>
          <w:tab w:pos="7080" w:val="left"/>
        </w:tabs>
        <w:autoSpaceDE w:val="0"/>
        <w:widowControl/>
        <w:spacing w:line="316" w:lineRule="exact" w:before="32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Unit-8: Applied Aspect of Protein Engineering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Protein-protein Interaction and Phage Display Systems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Cell Surface Display Systems and Cell-Free Display Systems for Protein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Engineering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Antibody Engineering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8.4 Protein Engineering in Vaccine Development and Protein Engineering For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Biosensors</w:t>
      </w:r>
    </w:p>
    <w:p>
      <w:pPr>
        <w:sectPr>
          <w:pgSz w:w="11906" w:h="16838"/>
          <w:pgMar w:top="284" w:right="1422" w:bottom="888" w:left="1440" w:header="720" w:footer="720" w:gutter="0"/>
          <w:cols w:space="720" w:num="1" w:equalWidth="0"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16" w:lineRule="exact" w:before="1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Book: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Klaus Buchholz, Volker Kasche and Uwe T. Bornscheuer (2012). Biocatalysts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enzyme technology. By. Wiley‐Blackwell, ISBN: 978-3-527-32989-2.</w:t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6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Aehle, W. (Ed.). (2007). Enzymes in industry: production and applications. John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Wiley &amp; Sons. ISBN: 978-3-527-31689-2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William H. Scouten, New Biocatalysts: Essential Tools for a Sustainable 21st Century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Chemical Industry, Gene Petersen.</w:t>
      </w:r>
    </w:p>
    <w:p>
      <w:pPr>
        <w:autoSpaceDN w:val="0"/>
        <w:autoSpaceDE w:val="0"/>
        <w:widowControl/>
        <w:spacing w:line="324" w:lineRule="exact" w:before="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Alberghina, L. (Ed.). (2005). Protein engineering for industrial biotechnology.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2" w:after="0"/>
        <w:ind w:left="36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harwood academic publishers. ISBN: 0-203-34342-5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Park, S. J., &amp; Cochran, J. R. (Eds.). (2010). Protein engineering and design (Vol. 75).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4" w:after="0"/>
        <w:ind w:left="36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CRC press. ISBN: 978-1-4200-7658-5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Poluri, K. M., &amp; Gulati, K. (2017). Protein engineering techniques: Gateways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synthetic protein universe. Springer. ISBN: 978-981-10-2732-1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M. Ramya &amp; P.Ponmurugan, (2015).Protein Engineering. Narosa Publishing House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Pvt. Ltd. ISBN- 978-81-8487-424-2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Further Reading: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Brahmachari, G. (2016). Biotechnology of microbial enzymes: production,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biocatalysis and Industrial applications. Academic Press. ISBN: 9780128037461</w:t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Ray, R. C., &amp; Rosell, C. M. (Eds.). (2017). Microbial enzyme technology in food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applications. CRC Press. ISBN: 9781315351414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Bornscheuer, U. T., &amp; Hohne, M. (2018). Protein Engineering. Springer. ISBN 978-1-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4939-7366-8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Rosenberg, A., &amp; Demeule, B. (Eds.). (2015). Biobetters: Protein engineering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approach the curative (Vol. 19). Springer. ISBN 978-1-4939-2543-8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Lutz, S., &amp; Bornscheuer, U. T. (Eds.). (2009). Protein engineering handbook (Vol. 1).</w:t>
      </w:r>
    </w:p>
    <w:p>
      <w:pPr>
        <w:autoSpaceDN w:val="0"/>
        <w:tabs>
          <w:tab w:pos="720" w:val="left"/>
        </w:tabs>
        <w:autoSpaceDE w:val="0"/>
        <w:widowControl/>
        <w:spacing w:line="314" w:lineRule="exact" w:before="18" w:after="0"/>
        <w:ind w:left="36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Weinheim: Wiley-VCH. ISBN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978-3-527-31850-6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Arndt, K. M., &amp; Müller, K. M. (Eds.). (2007). Protein engineering protocols (Vol. 11,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p. 312). Totowa, NJ: Humana Press. eISBN 1-59745-187-8</w:t>
      </w:r>
    </w:p>
    <w:p>
      <w:pPr>
        <w:autoSpaceDN w:val="0"/>
        <w:autoSpaceDE w:val="0"/>
        <w:widowControl/>
        <w:spacing w:line="332" w:lineRule="exact" w:before="31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List of Practical</w:t>
      </w:r>
    </w:p>
    <w:p>
      <w:pPr>
        <w:autoSpaceDN w:val="0"/>
        <w:autoSpaceDE w:val="0"/>
        <w:widowControl/>
        <w:spacing w:line="322" w:lineRule="exact" w:before="306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1) Determination of cellulase activity on CMC as substrate.</w:t>
      </w:r>
    </w:p>
    <w:p>
      <w:pPr>
        <w:autoSpaceDN w:val="0"/>
        <w:autoSpaceDE w:val="0"/>
        <w:widowControl/>
        <w:spacing w:line="316" w:lineRule="exact" w:before="8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2) Determination of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Km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Vmax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of amylase/ Cellulase enzyme.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 Immobilization of amylase / cellulase and determine its activity yield.</w:t>
      </w:r>
    </w:p>
    <w:p>
      <w:pPr>
        <w:autoSpaceDN w:val="0"/>
        <w:autoSpaceDE w:val="0"/>
        <w:widowControl/>
        <w:spacing w:line="322" w:lineRule="exact" w:before="62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************</w:t>
      </w:r>
    </w:p>
    <w:p>
      <w:pPr>
        <w:sectPr>
          <w:pgSz w:w="11906" w:h="16838"/>
          <w:pgMar w:top="282" w:right="1420" w:bottom="1440" w:left="1440" w:header="720" w:footer="720" w:gutter="0"/>
          <w:cols w:space="720" w:num="1" w:equalWidth="0"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0" w:after="334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Pharmaceutical Microbiology &amp; Drug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21"/>
        <w:gridCol w:w="3121"/>
        <w:gridCol w:w="3121"/>
      </w:tblGrid>
      <w:tr>
        <w:trPr>
          <w:trHeight w:hRule="exact" w:val="466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Sciences</w:t>
            </w:r>
          </w:p>
        </w:tc>
        <w:tc>
          <w:tcPr>
            <w:tcW w:type="dxa" w:w="32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robi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ogy</w:t>
            </w:r>
          </w:p>
        </w:tc>
      </w:tr>
      <w:tr>
        <w:trPr>
          <w:trHeight w:hRule="exact" w:val="466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M.Sc. Microbiology Sem-III</w:t>
            </w:r>
          </w:p>
        </w:tc>
        <w:tc>
          <w:tcPr>
            <w:tcW w:type="dxa" w:w="32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-3</w:t>
            </w:r>
          </w:p>
        </w:tc>
      </w:tr>
      <w:tr>
        <w:trPr>
          <w:trHeight w:hRule="exact" w:val="466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Pharmaceutical Microbiology &amp; Drug 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opm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</w:tr>
      <w:tr>
        <w:trPr>
          <w:trHeight w:hRule="exact" w:val="466"/>
        </w:trPr>
        <w:tc>
          <w:tcPr>
            <w:tcW w:type="dxa" w:w="61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 4+2</w:t>
            </w:r>
          </w:p>
        </w:tc>
        <w:tc>
          <w:tcPr>
            <w:tcW w:type="dxa" w:w="31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hour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278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gives insight of quality control &amp; good manufacturing practice in pharmaceutical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industries. It includes quality control &amp; quality assurance in sterile product preparation. 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highlight the fundamentals of drug discovery and deve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opm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proc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ss.</w:t>
            </w:r>
          </w:p>
        </w:tc>
      </w:tr>
      <w:tr>
        <w:trPr>
          <w:trHeight w:hRule="exact" w:val="2618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2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4.00000000000006" w:type="dxa"/>
            </w:tblPr>
            <w:tblGrid>
              <w:gridCol w:w="4661"/>
              <w:gridCol w:w="4661"/>
            </w:tblGrid>
            <w:tr>
              <w:trPr>
                <w:trHeight w:hRule="exact" w:val="2006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44" w:right="144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  <w:p>
                  <w:pPr>
                    <w:autoSpaceDN w:val="0"/>
                    <w:autoSpaceDE w:val="0"/>
                    <w:widowControl/>
                    <w:spacing w:line="336" w:lineRule="exact" w:before="314" w:after="0"/>
                    <w:ind w:left="144" w:right="144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8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8" w:lineRule="exact" w:before="0" w:after="0"/>
                    <w:ind w:left="1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Students will introduce with cGMP and international regulation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Student learn key aspects of microbial spoilage &amp; preservation of pharmaceutical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products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Students will acquaint with the methodologies of microbiological assay.</w:t>
                  </w:r>
                </w:p>
                <w:p>
                  <w:pPr>
                    <w:autoSpaceDN w:val="0"/>
                    <w:autoSpaceDE w:val="0"/>
                    <w:widowControl/>
                    <w:spacing w:line="318" w:lineRule="exact" w:before="18" w:after="0"/>
                    <w:ind w:left="1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Students will be introducing with the fundamentals of drug discovery and development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process.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.00000000000011" w:type="dxa"/>
      </w:tblPr>
      <w:tblGrid>
        <w:gridCol w:w="4681"/>
        <w:gridCol w:w="4681"/>
      </w:tblGrid>
      <w:tr>
        <w:trPr>
          <w:trHeight w:hRule="exact" w:val="386"/>
        </w:trPr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54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Unit-1: History &amp; The Development of Pharmaceutical Process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54" w:after="0"/>
              <w:ind w:left="25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07 Hrs)</w:t>
            </w:r>
          </w:p>
        </w:tc>
      </w:tr>
      <w:tr>
        <w:trPr>
          <w:trHeight w:hRule="exact" w:val="1740"/>
        </w:trPr>
        <w:tc>
          <w:tcPr>
            <w:tcW w:type="dxa" w:w="9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4" w:after="0"/>
              <w:ind w:left="440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Introduction to pharmaceuticals, biologics and biopharmaceuticals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History of pharmaceutical industries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Manufacture of sterile product: Design of premises &amp; Aseptic areas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Good manufacturing practice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1.5 FD&amp;C Act, Federal Register &amp; Code of Federal Regulation (CFR)</w:t>
            </w:r>
          </w:p>
        </w:tc>
      </w:tr>
      <w:tr>
        <w:trPr>
          <w:trHeight w:hRule="exact" w:val="480"/>
        </w:trPr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8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Unit-2: Quality control &amp; cGMP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8" w:after="0"/>
              <w:ind w:left="2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07 Hrs)</w:t>
            </w:r>
          </w:p>
        </w:tc>
      </w:tr>
      <w:tr>
        <w:trPr>
          <w:trHeight w:hRule="exact" w:val="2918"/>
        </w:trPr>
        <w:tc>
          <w:tcPr>
            <w:tcW w:type="dxa" w:w="9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0" w:val="left"/>
              </w:tabs>
              <w:autoSpaceDE w:val="0"/>
              <w:widowControl/>
              <w:spacing w:line="316" w:lineRule="exact" w:before="8" w:after="0"/>
              <w:ind w:left="4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Definition: Quality, Manufacture, Quality assurance (QA), Good manufacturing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practice (GMP), Quality control (QC), In - process control, Validation.</w:t>
            </w:r>
          </w:p>
          <w:p>
            <w:pPr>
              <w:autoSpaceDN w:val="0"/>
              <w:autoSpaceDE w:val="0"/>
              <w:widowControl/>
              <w:spacing w:line="318" w:lineRule="exact" w:before="6" w:after="0"/>
              <w:ind w:left="440" w:right="37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What is cGMP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Importance of cGMP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Key aspects of GMP compliance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2.5 Ten rules of GMP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2.6 Risk management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2.7 The role and development of pharmacopoeias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2.8 Indian GMP regulation</w:t>
            </w:r>
          </w:p>
        </w:tc>
      </w:tr>
    </w:tbl>
    <w:p>
      <w:pPr>
        <w:autoSpaceDN w:val="0"/>
        <w:tabs>
          <w:tab w:pos="518" w:val="left"/>
        </w:tabs>
        <w:autoSpaceDE w:val="0"/>
        <w:widowControl/>
        <w:spacing w:line="314" w:lineRule="exact" w:before="268" w:after="0"/>
        <w:ind w:left="15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Unit-3: Microbial spoilage &amp; Preservation of Pharmaceutical Products (Duration: 08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Hrs)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Pharmaceutical ingredients susceptible to microbial attack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3.2 Factors affecting microbial spoilage of pharmaceutical products</w:t>
      </w:r>
    </w:p>
    <w:p>
      <w:pPr>
        <w:sectPr>
          <w:pgSz w:w="11906" w:h="16838"/>
          <w:pgMar w:top="282" w:right="1262" w:bottom="858" w:left="1282" w:header="720" w:footer="720" w:gutter="0"/>
          <w:cols w:space="720" w:num="1" w:equalWidth="0"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6" w:lineRule="exact" w:before="8" w:after="0"/>
        <w:ind w:left="36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Preservation of pharmaceutical product by antimicrobial agents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Factors affecting the availability of preservatives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3.5 Preservative efficacy testing</w:t>
      </w:r>
    </w:p>
    <w:p>
      <w:pPr>
        <w:autoSpaceDN w:val="0"/>
        <w:tabs>
          <w:tab w:pos="360" w:val="left"/>
          <w:tab w:pos="7054" w:val="left"/>
        </w:tabs>
        <w:autoSpaceDE w:val="0"/>
        <w:widowControl/>
        <w:spacing w:line="334" w:lineRule="exact" w:before="30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Unit-4: Quality control and quality assurance of sterile products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Types of sterile products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4.2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Pharmacopeia and microbiological tests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4.3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Microbiological examination of nonsterile products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4.4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Test for specified organisms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4.5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Specification limits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4.6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Bioburden determination</w:t>
      </w:r>
    </w:p>
    <w:p>
      <w:pPr>
        <w:autoSpaceDN w:val="0"/>
        <w:tabs>
          <w:tab w:pos="360" w:val="left"/>
          <w:tab w:pos="7080" w:val="left"/>
        </w:tabs>
        <w:autoSpaceDE w:val="0"/>
        <w:widowControl/>
        <w:spacing w:line="316" w:lineRule="exact" w:before="31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Unit-5: Sterilization &amp; sterility assurance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Sterility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Sterility assurance and sterility assurance level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Sterility testing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Endotoxin &amp; pyrogen testing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5.5 Parametric release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5.6 Factors affecting sterilization effectiveness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5.7 Validation and in-process monitoring of sterilization procedures</w:t>
      </w:r>
    </w:p>
    <w:p>
      <w:pPr>
        <w:autoSpaceDN w:val="0"/>
        <w:tabs>
          <w:tab w:pos="360" w:val="left"/>
          <w:tab w:pos="7020" w:val="left"/>
        </w:tabs>
        <w:autoSpaceDE w:val="0"/>
        <w:widowControl/>
        <w:spacing w:line="316" w:lineRule="exact" w:before="3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Unit-6: Microbiological assays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Principle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Methodologies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Types of microbiological assays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6.4 Assay of antibiotics, vitamins &amp; aminoacids</w:t>
      </w:r>
    </w:p>
    <w:p>
      <w:pPr>
        <w:autoSpaceDN w:val="0"/>
        <w:tabs>
          <w:tab w:pos="360" w:val="left"/>
          <w:tab w:pos="7020" w:val="left"/>
        </w:tabs>
        <w:autoSpaceDE w:val="0"/>
        <w:widowControl/>
        <w:spacing w:line="316" w:lineRule="exact" w:before="32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Unit-7: Drug Discovery Process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Drug discovery process – General principles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Overview of drug development process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The impact of genomics and related technologies upon drug discovery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Rational drug design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7.5 Combinatorial approach to drug discovery</w:t>
      </w:r>
    </w:p>
    <w:p>
      <w:pPr>
        <w:autoSpaceDN w:val="0"/>
        <w:tabs>
          <w:tab w:pos="360" w:val="left"/>
          <w:tab w:pos="7020" w:val="left"/>
        </w:tabs>
        <w:autoSpaceDE w:val="0"/>
        <w:widowControl/>
        <w:spacing w:line="316" w:lineRule="exact" w:before="32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Unit-8: Drug Development Process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Pre-clinical trials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Clinical trials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Role of regulatory authorities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8.4 Regulatory requirements for clinical trials in India</w:t>
      </w:r>
    </w:p>
    <w:p>
      <w:pPr>
        <w:sectPr>
          <w:pgSz w:w="11906" w:h="16838"/>
          <w:pgMar w:top="284" w:right="1422" w:bottom="1440" w:left="1440" w:header="720" w:footer="720" w:gutter="0"/>
          <w:cols w:space="720" w:num="1" w:equalWidth="0">
            <w:col w:w="9044" w:space="0"/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16" w:lineRule="exact" w:before="1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Book: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Sandle, T. (2015). Pharmaceutical microbiology: essentials for quality assurance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quality control. Woodhead Publishing. ISBN No. 9780081000229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Ashutosh Kar, (2008) Pharmaceutical microbiology, New Age International (P) Ltd.,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Publishers, New Delhi . ISBN No 9788122422009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Hugo and Russells, (2007), Pharmaceutical Microbiology 8th Edi., Blackwell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Publishing.ISBN No. 978-9332541306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Walsh G., (2007), Pharmaceurcal Biotechnolog- Concepts and Applications, Wiley.</w:t>
      </w:r>
    </w:p>
    <w:p>
      <w:pPr>
        <w:autoSpaceDN w:val="0"/>
        <w:tabs>
          <w:tab w:pos="720" w:val="left"/>
          <w:tab w:pos="1652" w:val="left"/>
          <w:tab w:pos="2384" w:val="left"/>
          <w:tab w:pos="4010" w:val="left"/>
          <w:tab w:pos="4982" w:val="left"/>
          <w:tab w:pos="6022" w:val="left"/>
          <w:tab w:pos="7428" w:val="left"/>
          <w:tab w:pos="8558" w:val="left"/>
        </w:tabs>
        <w:autoSpaceDE w:val="0"/>
        <w:widowControl/>
        <w:spacing w:line="318" w:lineRule="exact" w:before="4" w:after="0"/>
        <w:ind w:left="36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(ISBN: 978-0-470-01244-4)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RegulationsAndQuality pdf Pg. No 126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Current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Good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Manufacturing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Practice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(CGMP)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Regulations.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Retrieved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https://www.fda.gov/drugs/pharmaceutical-quality-resources/current-good-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manufacturing-practice-cgmp-regulations</w:t>
      </w:r>
    </w:p>
    <w:p>
      <w:pPr>
        <w:autoSpaceDN w:val="0"/>
        <w:tabs>
          <w:tab w:pos="360" w:val="left"/>
        </w:tabs>
        <w:autoSpaceDE w:val="0"/>
        <w:widowControl/>
        <w:spacing w:line="318" w:lineRule="exact" w:before="0" w:after="0"/>
        <w:ind w:left="0" w:right="7200" w:firstLine="0"/>
        <w:jc w:val="left"/>
      </w:pP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Further Reading:</w:t>
      </w:r>
    </w:p>
    <w:p>
      <w:pPr>
        <w:autoSpaceDN w:val="0"/>
        <w:tabs>
          <w:tab w:pos="720" w:val="left"/>
          <w:tab w:pos="780" w:val="left"/>
        </w:tabs>
        <w:autoSpaceDE w:val="0"/>
        <w:widowControl/>
        <w:spacing w:line="318" w:lineRule="exact" w:before="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Gad, S. C., (2007), Handbook of Pharmaceutical Biotechnology. Wiley-Interscience,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New Jersey, (ISBN: 978-0-470-25958-0)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Denyer, S. P. and Baird, R. M., (2008), Guide to microbiological control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pharmaceuticals and medical devices. 2nd Edition, CRC Press, Boca Raton, (ISBN: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9781444330632)</w:t>
      </w:r>
    </w:p>
    <w:p>
      <w:pPr>
        <w:autoSpaceDN w:val="0"/>
        <w:tabs>
          <w:tab w:pos="1440" w:val="left"/>
          <w:tab w:pos="3694" w:val="left"/>
        </w:tabs>
        <w:autoSpaceDE w:val="0"/>
        <w:widowControl/>
        <w:spacing w:line="316" w:lineRule="exact" w:before="324" w:after="0"/>
        <w:ind w:left="1080" w:right="0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List of Practical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Sterility testing of pharmaceutical products by direct inoculation &amp; membrane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filtration methods as per Indian Pharmacopoeia (IP).</w:t>
      </w:r>
    </w:p>
    <w:p>
      <w:pPr>
        <w:autoSpaceDN w:val="0"/>
        <w:autoSpaceDE w:val="0"/>
        <w:widowControl/>
        <w:spacing w:line="322" w:lineRule="exact" w:before="0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2) Microbiological assay of amino acid / vitamin.</w:t>
      </w:r>
    </w:p>
    <w:p>
      <w:pPr>
        <w:autoSpaceDN w:val="0"/>
        <w:autoSpaceDE w:val="0"/>
        <w:widowControl/>
        <w:spacing w:line="324" w:lineRule="exact" w:before="0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 Perform preservative efficacy test.</w:t>
      </w:r>
    </w:p>
    <w:p>
      <w:pPr>
        <w:autoSpaceDN w:val="0"/>
        <w:autoSpaceDE w:val="0"/>
        <w:widowControl/>
        <w:spacing w:line="324" w:lineRule="exact" w:before="946" w:after="0"/>
        <w:ind w:left="0" w:right="309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************</w:t>
      </w:r>
    </w:p>
    <w:p>
      <w:pPr>
        <w:sectPr>
          <w:pgSz w:w="11906" w:h="16838"/>
          <w:pgMar w:top="282" w:right="1422" w:bottom="1440" w:left="1440" w:header="720" w:footer="720" w:gutter="0"/>
          <w:cols w:space="720" w:num="1" w:equalWidth="0">
            <w:col w:w="9044" w:space="0"/>
            <w:col w:w="9044" w:space="0"/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82"/>
        <w:gridCol w:w="4582"/>
      </w:tblGrid>
      <w:tr>
        <w:trPr>
          <w:trHeight w:hRule="exact" w:val="1236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44" w:after="0"/>
              <w:ind w:left="0" w:right="34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Forensic Biology and DNA Typing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055"/>
        <w:gridCol w:w="3055"/>
        <w:gridCol w:w="3055"/>
      </w:tblGrid>
      <w:tr>
        <w:trPr>
          <w:trHeight w:hRule="exact" w:val="542"/>
        </w:trPr>
        <w:tc>
          <w:tcPr>
            <w:tcW w:type="dxa" w:w="5370"/>
            <w:gridSpan w:val="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0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Science</w:t>
            </w:r>
          </w:p>
        </w:tc>
        <w:tc>
          <w:tcPr>
            <w:tcW w:type="dxa" w:w="3660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0" w:after="0"/>
              <w:ind w:left="9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Department: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Biotechnology</w:t>
            </w:r>
          </w:p>
        </w:tc>
      </w:tr>
      <w:tr>
        <w:trPr>
          <w:trHeight w:hRule="exact" w:val="760"/>
        </w:trPr>
        <w:tc>
          <w:tcPr>
            <w:tcW w:type="dxa" w:w="5370"/>
            <w:gridSpan w:val="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4" w:after="0"/>
              <w:ind w:left="17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M.Sc. Sem-III</w:t>
            </w:r>
          </w:p>
        </w:tc>
        <w:tc>
          <w:tcPr>
            <w:tcW w:type="dxa" w:w="3660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4" w:after="0"/>
              <w:ind w:left="9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DSE-3</w:t>
            </w:r>
          </w:p>
        </w:tc>
      </w:tr>
      <w:tr>
        <w:trPr>
          <w:trHeight w:hRule="exact" w:val="760"/>
        </w:trPr>
        <w:tc>
          <w:tcPr>
            <w:tcW w:type="dxa" w:w="9030"/>
            <w:gridSpan w:val="3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4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Forensic Biology and DNA Typing</w:t>
            </w:r>
          </w:p>
        </w:tc>
      </w:tr>
      <w:tr>
        <w:trPr>
          <w:trHeight w:hRule="exact" w:val="760"/>
        </w:trPr>
        <w:tc>
          <w:tcPr>
            <w:tcW w:type="dxa" w:w="315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6" w:after="0"/>
              <w:ind w:left="5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 04</w:t>
            </w:r>
          </w:p>
        </w:tc>
        <w:tc>
          <w:tcPr>
            <w:tcW w:type="dxa" w:w="5878"/>
            <w:gridSpan w:val="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6" w:after="0"/>
              <w:ind w:left="15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 learning hours: 60</w:t>
            </w:r>
          </w:p>
        </w:tc>
      </w:tr>
      <w:tr>
        <w:trPr>
          <w:trHeight w:hRule="exact" w:val="2118"/>
        </w:trPr>
        <w:tc>
          <w:tcPr>
            <w:tcW w:type="dxa" w:w="9030"/>
            <w:gridSpan w:val="3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80" w:after="0"/>
              <w:ind w:left="1170" w:right="0" w:hanging="108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course provides the basic knowledge about Forensic Science and its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applications. Specifically, this course covers biological and molecular aspects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information used for forensic studies and to solve the crimes.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techniques used for identification and characterization of culprits or victims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through diverse biological evidences are included in this course.</w:t>
            </w:r>
          </w:p>
        </w:tc>
      </w:tr>
      <w:tr>
        <w:trPr>
          <w:trHeight w:hRule="exact" w:val="2438"/>
        </w:trPr>
        <w:tc>
          <w:tcPr>
            <w:tcW w:type="dxa" w:w="9030"/>
            <w:gridSpan w:val="3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0" w:val="left"/>
                <w:tab w:pos="884" w:val="left"/>
                <w:tab w:pos="1244" w:val="left"/>
              </w:tabs>
              <w:autoSpaceDE w:val="0"/>
              <w:widowControl/>
              <w:spacing w:line="316" w:lineRule="exact" w:before="82" w:after="0"/>
              <w:ind w:left="58" w:right="38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 completion of course students will be able to: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Learn the basics of forensic biology.</w:t>
            </w:r>
          </w:p>
          <w:p>
            <w:pPr>
              <w:autoSpaceDN w:val="0"/>
              <w:tabs>
                <w:tab w:pos="1244" w:val="left"/>
              </w:tabs>
              <w:autoSpaceDE w:val="0"/>
              <w:widowControl/>
              <w:spacing w:line="318" w:lineRule="exact" w:before="4" w:after="0"/>
              <w:ind w:left="8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Understand the collection, identification and applications of various biological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evidence for solving crimes.</w:t>
            </w:r>
          </w:p>
          <w:p>
            <w:pPr>
              <w:autoSpaceDN w:val="0"/>
              <w:tabs>
                <w:tab w:pos="1244" w:val="left"/>
              </w:tabs>
              <w:autoSpaceDE w:val="0"/>
              <w:widowControl/>
              <w:spacing w:line="320" w:lineRule="exact" w:before="2" w:after="0"/>
              <w:ind w:left="884" w:right="2736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Learn basic biology of DNA and its principles.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Apply the techniques for DNA typing for forensics.</w:t>
            </w:r>
          </w:p>
        </w:tc>
      </w:tr>
    </w:tbl>
    <w:p>
      <w:pPr>
        <w:autoSpaceDN w:val="0"/>
        <w:tabs>
          <w:tab w:pos="1020" w:val="left"/>
        </w:tabs>
        <w:autoSpaceDE w:val="0"/>
        <w:widowControl/>
        <w:spacing w:line="316" w:lineRule="exact" w:before="622" w:after="0"/>
        <w:ind w:left="300" w:right="360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Unit-1: Basics of Forensics: (4 h)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to Forensics and its branches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Forensic biology: A subdiscipline of Forensics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History of Forensic Biology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Laboratory Services: Forensics</w:t>
      </w:r>
    </w:p>
    <w:p>
      <w:pPr>
        <w:autoSpaceDN w:val="0"/>
        <w:tabs>
          <w:tab w:pos="1020" w:val="left"/>
        </w:tabs>
        <w:autoSpaceDE w:val="0"/>
        <w:widowControl/>
        <w:spacing w:line="318" w:lineRule="exact" w:before="322" w:after="0"/>
        <w:ind w:left="300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Unit-2: Biological Sources as Forensic Indicators: (8 h)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Decay process of Biological Sources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Body fluids and waste products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2.2.1. Blood and Cells; Blood Typing (bloodstain pattern analysis)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2.2.2. Saliva and Semen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2.2.3. Faeces, urine and vomitus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Hair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Bone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2.5.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Wounds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Unit-3: Crime Scene Investigation and Analysis of Biological Evidence: (8 h)</w:t>
      </w:r>
    </w:p>
    <w:p>
      <w:pPr>
        <w:sectPr>
          <w:pgSz w:w="11906" w:h="16838"/>
          <w:pgMar w:top="282" w:right="1422" w:bottom="836" w:left="1320" w:header="720" w:footer="720" w:gutter="0"/>
          <w:cols w:space="720" w:num="1" w:equalWidth="0">
            <w:col w:w="9164" w:space="0"/>
            <w:col w:w="9044" w:space="0"/>
            <w:col w:w="9044" w:space="0"/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00" w:val="left"/>
        </w:tabs>
        <w:autoSpaceDE w:val="0"/>
        <w:widowControl/>
        <w:spacing w:line="318" w:lineRule="exact" w:before="6" w:after="0"/>
        <w:ind w:left="18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Protection and documentation of crime scene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Recognition and collection of biological evidence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Packaging and transportation of biological evidence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Identification and characterization of biological evidence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3.5.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Crime scene reconstruction and reporting results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Unit-4: Organisms in Forensics: (9 h)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4.1.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Microbes (Bacteria, Viruses, Protist And Fungi)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Plants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4.2.1. Wood and illegal trade in protected plants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4.2.2. Pollen and spores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4.2.3. Fruit, seeds and leaves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4.2.4. Secondary metabolites as drugs and poison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Invertebrates (forensic indicators and forensic information obtained-calculating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death time)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Vertebrates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Collection of plant and animal material for forensic studies</w:t>
      </w:r>
    </w:p>
    <w:p>
      <w:pPr>
        <w:autoSpaceDN w:val="0"/>
        <w:tabs>
          <w:tab w:pos="900" w:val="left"/>
        </w:tabs>
        <w:autoSpaceDE w:val="0"/>
        <w:widowControl/>
        <w:spacing w:line="316" w:lineRule="exact" w:before="326" w:after="0"/>
        <w:ind w:left="180" w:right="37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Unit-5: Basics of DNA Biology: (6 h)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Basic DNA principles and structure of DNA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Chromosome, genes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DNA Polymorphisms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DNA Markers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5.4.</w:t>
      </w:r>
    </w:p>
    <w:p>
      <w:pPr>
        <w:autoSpaceDN w:val="0"/>
        <w:tabs>
          <w:tab w:pos="900" w:val="left"/>
        </w:tabs>
        <w:autoSpaceDE w:val="0"/>
        <w:widowControl/>
        <w:spacing w:line="324" w:lineRule="exact" w:before="0" w:after="0"/>
        <w:ind w:left="1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5.5.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Designating chromosomal locations</w:t>
      </w:r>
    </w:p>
    <w:p>
      <w:pPr>
        <w:autoSpaceDN w:val="0"/>
        <w:tabs>
          <w:tab w:pos="900" w:val="left"/>
        </w:tabs>
        <w:autoSpaceDE w:val="0"/>
        <w:widowControl/>
        <w:spacing w:line="316" w:lineRule="exact" w:before="322" w:after="0"/>
        <w:ind w:left="18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Unit-6: DNA typing: (8 h)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to DNA analysis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Historical methods for DNA typing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Sources for DNA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Sampling, collection, storage and transportation of DNA evidence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6.4.</w:t>
      </w:r>
    </w:p>
    <w:p>
      <w:pPr>
        <w:autoSpaceDN w:val="0"/>
        <w:tabs>
          <w:tab w:pos="900" w:val="left"/>
        </w:tabs>
        <w:autoSpaceDE w:val="0"/>
        <w:widowControl/>
        <w:spacing w:line="318" w:lineRule="exact" w:before="6" w:after="0"/>
        <w:ind w:left="18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6.5.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Dealing with Degraded DNA, Low copy Number DNA and Mixture of DNA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samples</w:t>
      </w:r>
    </w:p>
    <w:p>
      <w:pPr>
        <w:autoSpaceDN w:val="0"/>
        <w:tabs>
          <w:tab w:pos="900" w:val="left"/>
        </w:tabs>
        <w:autoSpaceDE w:val="0"/>
        <w:widowControl/>
        <w:spacing w:line="316" w:lineRule="exact" w:before="324" w:after="0"/>
        <w:ind w:left="180" w:right="38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Unit-7: Techniques for DNA typing: (10 h)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Extraction of DNA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Quantitation and analysis of DNA evidence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Amplification of DNA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Separation and detection of DNA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7.4.</w:t>
      </w:r>
    </w:p>
    <w:p>
      <w:pPr>
        <w:autoSpaceDN w:val="0"/>
        <w:tabs>
          <w:tab w:pos="900" w:val="left"/>
        </w:tabs>
        <w:autoSpaceDE w:val="0"/>
        <w:widowControl/>
        <w:spacing w:line="318" w:lineRule="exact" w:before="4" w:after="0"/>
        <w:ind w:left="18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7.5.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 markers and genotyping (general STR and Y-chromosome)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7.6.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SNPs and other polymorphisms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7.7.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VNTRs profiling</w:t>
      </w:r>
    </w:p>
    <w:p>
      <w:pPr>
        <w:autoSpaceDN w:val="0"/>
        <w:tabs>
          <w:tab w:pos="900" w:val="left"/>
        </w:tabs>
        <w:autoSpaceDE w:val="0"/>
        <w:widowControl/>
        <w:spacing w:line="314" w:lineRule="exact" w:before="328" w:after="0"/>
        <w:ind w:left="180" w:right="273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Unit-8: Applications of DNA Typing in Forensics: (7 h)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Sex chromosome haplotyping and gender identification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Mitochondrial DNA profiling (Tzar Nicholas II case)</w:t>
      </w:r>
    </w:p>
    <w:p>
      <w:pPr>
        <w:sectPr>
          <w:pgSz w:w="11906" w:h="16838"/>
          <w:pgMar w:top="284" w:right="1422" w:bottom="728" w:left="1440" w:header="720" w:footer="720" w:gutter="0"/>
          <w:cols w:space="720" w:num="1" w:equalWidth="0">
            <w:col w:w="9044" w:space="0"/>
            <w:col w:w="9164" w:space="0"/>
            <w:col w:w="9044" w:space="0"/>
            <w:col w:w="9044" w:space="0"/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12" w:val="left"/>
        </w:tabs>
        <w:autoSpaceDE w:val="0"/>
        <w:widowControl/>
        <w:spacing w:line="316" w:lineRule="exact" w:before="8" w:after="0"/>
        <w:ind w:left="192" w:right="51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Parentage identification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8.4.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Disaster victim identification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8.5.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Wildlife Crime and Forensics</w:t>
      </w:r>
    </w:p>
    <w:p>
      <w:pPr>
        <w:autoSpaceDN w:val="0"/>
        <w:tabs>
          <w:tab w:pos="372" w:val="left"/>
          <w:tab w:pos="732" w:val="left"/>
        </w:tabs>
        <w:autoSpaceDE w:val="0"/>
        <w:widowControl/>
        <w:spacing w:line="316" w:lineRule="exact" w:before="324" w:after="0"/>
        <w:ind w:left="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References: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Li R.,(2015) Forensic Biology (2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Edition), CRC Press ISBN:978-1-4398-8972-5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Butler J., (2010) Fundamentals of Forensic DNA Typing, Elsevier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ISBN:9780123749994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Gunn A., (2006) Essential Forensic Biology, John Wiley &amp; Sons Ltd.ISBN:978-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0470758038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Jamieson A. &amp; Bader S., (2016) A Guide to Forensic DNA Profiling, John Wiley &amp;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Sons Ltd.ISBN:978-1118751527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Practical: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Extraction and characterization (spectrophotometric and gel electrophoresis) of DNA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from hair/nail clipping. Or To study DNA extraction through InstaDNA card.</w:t>
      </w:r>
    </w:p>
    <w:p>
      <w:pPr>
        <w:autoSpaceDN w:val="0"/>
        <w:tabs>
          <w:tab w:pos="732" w:val="left"/>
        </w:tabs>
        <w:autoSpaceDE w:val="0"/>
        <w:widowControl/>
        <w:spacing w:line="318" w:lineRule="exact" w:before="4" w:after="0"/>
        <w:ind w:left="3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Demonstration of Crime scene investigation. Or To identify unknown remains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through mitochondrial DNA study (Demonstration and theoretical case study)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To study diatoms for identification of location, time of year and habitat of crime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involving drowning.</w:t>
      </w:r>
    </w:p>
    <w:p>
      <w:pPr>
        <w:autoSpaceDN w:val="0"/>
        <w:tabs>
          <w:tab w:pos="732" w:val="left"/>
        </w:tabs>
        <w:autoSpaceDE w:val="0"/>
        <w:widowControl/>
        <w:spacing w:line="318" w:lineRule="exact" w:before="4" w:after="0"/>
        <w:ind w:left="37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 To identify blood stain through presumptive tests (Hydrogen Peroxide test/Kastle-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Meyer Test).</w:t>
      </w:r>
    </w:p>
    <w:p>
      <w:pPr>
        <w:autoSpaceDN w:val="0"/>
        <w:tabs>
          <w:tab w:pos="372" w:val="left"/>
          <w:tab w:pos="732" w:val="left"/>
        </w:tabs>
        <w:autoSpaceDE w:val="0"/>
        <w:widowControl/>
        <w:spacing w:line="314" w:lineRule="exact" w:before="326" w:after="0"/>
        <w:ind w:left="12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Reference for Practical: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Walker P. &amp; Wood E., (2010) Facts on File Science Experiments Forensic Science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Experiments, Infobase Publishing ISBN:978-0816078042</w:t>
      </w:r>
    </w:p>
    <w:p>
      <w:pPr>
        <w:sectPr>
          <w:pgSz w:w="11906" w:h="16838"/>
          <w:pgMar w:top="282" w:right="1422" w:bottom="1440" w:left="1428" w:header="720" w:footer="720" w:gutter="0"/>
          <w:cols w:space="720" w:num="1" w:equalWidth="0">
            <w:col w:w="9056" w:space="0"/>
            <w:col w:w="9044" w:space="0"/>
            <w:col w:w="9164" w:space="0"/>
            <w:col w:w="9044" w:space="0"/>
            <w:col w:w="9044" w:space="0"/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20.0" w:type="dxa"/>
      </w:tblPr>
      <w:tblGrid>
        <w:gridCol w:w="4663"/>
        <w:gridCol w:w="4663"/>
      </w:tblGrid>
      <w:tr>
        <w:trPr>
          <w:trHeight w:hRule="exact" w:val="1236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44" w:after="0"/>
              <w:ind w:left="0" w:right="63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Research Methodology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3109"/>
        <w:gridCol w:w="3109"/>
        <w:gridCol w:w="3109"/>
      </w:tblGrid>
      <w:tr>
        <w:trPr>
          <w:trHeight w:hRule="exact" w:val="466"/>
        </w:trPr>
        <w:tc>
          <w:tcPr>
            <w:tcW w:type="dxa" w:w="56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Science</w:t>
            </w:r>
          </w:p>
        </w:tc>
        <w:tc>
          <w:tcPr>
            <w:tcW w:type="dxa" w:w="3598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Department: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Microbiology</w:t>
            </w:r>
          </w:p>
        </w:tc>
      </w:tr>
      <w:tr>
        <w:trPr>
          <w:trHeight w:hRule="exact" w:val="466"/>
        </w:trPr>
        <w:tc>
          <w:tcPr>
            <w:tcW w:type="dxa" w:w="56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M.Sc. Microbiology Sem-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</w:p>
        </w:tc>
        <w:tc>
          <w:tcPr>
            <w:tcW w:type="dxa" w:w="3598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DSE-3</w:t>
            </w:r>
          </w:p>
        </w:tc>
      </w:tr>
      <w:tr>
        <w:trPr>
          <w:trHeight w:hRule="exact" w:val="466"/>
        </w:trPr>
        <w:tc>
          <w:tcPr>
            <w:tcW w:type="dxa" w:w="9288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Research Meth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odology</w:t>
            </w:r>
          </w:p>
        </w:tc>
      </w:tr>
      <w:tr>
        <w:trPr>
          <w:trHeight w:hRule="exact" w:val="466"/>
        </w:trPr>
        <w:tc>
          <w:tcPr>
            <w:tcW w:type="dxa" w:w="575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04</w:t>
            </w:r>
          </w:p>
        </w:tc>
        <w:tc>
          <w:tcPr>
            <w:tcW w:type="dxa" w:w="35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 learning hours: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60</w:t>
            </w:r>
          </w:p>
        </w:tc>
      </w:tr>
      <w:tr>
        <w:trPr>
          <w:trHeight w:hRule="exact" w:val="1834"/>
        </w:trPr>
        <w:tc>
          <w:tcPr>
            <w:tcW w:type="dxa" w:w="9288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learning objective of the paper will enrich the students with basic principle of research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methodology which help the students to learn essential steps involved in research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methodology like Review of literature, Construction of hypothesis, Data collection, Report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writing and Research publication.</w:t>
            </w:r>
          </w:p>
        </w:tc>
      </w:tr>
      <w:tr>
        <w:trPr>
          <w:trHeight w:hRule="exact" w:val="1708"/>
        </w:trPr>
        <w:tc>
          <w:tcPr>
            <w:tcW w:type="dxa" w:w="9288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e:</w:t>
            </w:r>
          </w:p>
          <w:p>
            <w:pPr>
              <w:autoSpaceDN w:val="0"/>
              <w:tabs>
                <w:tab w:pos="884" w:val="left"/>
              </w:tabs>
              <w:autoSpaceDE w:val="0"/>
              <w:widowControl/>
              <w:spacing w:line="294" w:lineRule="exact" w:before="0" w:after="0"/>
              <w:ind w:left="39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Student will learn about objective and types of research.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304" w:lineRule="exact" w:before="0" w:after="0"/>
              <w:ind w:left="39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Student will understand important steps involved in research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306" w:lineRule="exact" w:before="0" w:after="0"/>
              <w:ind w:left="39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Student will learn about writing a research proposal and report and how to do citation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284"/>
        <w:ind w:left="0" w:right="0"/>
      </w:pPr>
    </w:p>
    <w:p>
      <w:pPr>
        <w:sectPr>
          <w:pgSz w:w="11906" w:h="16838"/>
          <w:pgMar w:top="282" w:right="1280" w:bottom="864" w:left="1300" w:header="720" w:footer="720" w:gutter="0"/>
          <w:cols w:space="720" w:num="1" w:equalWidth="0">
            <w:col w:w="9326" w:space="0"/>
            <w:col w:w="9056" w:space="0"/>
            <w:col w:w="9044" w:space="0"/>
            <w:col w:w="9164" w:space="0"/>
            <w:col w:w="9044" w:space="0"/>
            <w:col w:w="9044" w:space="0"/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14" w:lineRule="exact" w:before="18" w:after="0"/>
        <w:ind w:left="500" w:right="720" w:hanging="3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Unit-1: Introduction to research methodology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Definition of Research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Objectives of research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1.3 Types of research.</w:t>
      </w:r>
    </w:p>
    <w:p>
      <w:pPr>
        <w:autoSpaceDN w:val="0"/>
        <w:autoSpaceDE w:val="0"/>
        <w:widowControl/>
        <w:spacing w:line="324" w:lineRule="exact" w:before="0" w:after="0"/>
        <w:ind w:left="5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1.4 The research process</w:t>
      </w:r>
    </w:p>
    <w:p>
      <w:pPr>
        <w:sectPr>
          <w:type w:val="continuous"/>
          <w:pgSz w:w="11906" w:h="16838"/>
          <w:pgMar w:top="282" w:right="1280" w:bottom="864" w:left="1300" w:header="720" w:footer="720" w:gutter="0"/>
          <w:cols w:space="720" w:num="2" w:equalWidth="0">
            <w:col w:w="5570" w:space="0"/>
            <w:col w:w="3755" w:space="0"/>
            <w:col w:w="9326" w:space="0"/>
            <w:col w:w="9056" w:space="0"/>
            <w:col w:w="9044" w:space="0"/>
            <w:col w:w="9164" w:space="0"/>
            <w:col w:w="9044" w:space="0"/>
            <w:col w:w="9044" w:space="0"/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1570"/>
        <w:ind w:left="75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07 Hrs)</w:t>
      </w:r>
    </w:p>
    <w:p>
      <w:pPr>
        <w:sectPr>
          <w:type w:val="nextColumn"/>
          <w:pgSz w:w="11906" w:h="16838"/>
          <w:pgMar w:top="282" w:right="1280" w:bottom="864" w:left="1300" w:header="720" w:footer="720" w:gutter="0"/>
          <w:cols w:space="720" w:num="2" w:equalWidth="0">
            <w:col w:w="5570" w:space="0"/>
            <w:col w:w="3755" w:space="0"/>
            <w:col w:w="9326" w:space="0"/>
            <w:col w:w="9056" w:space="0"/>
            <w:col w:w="9044" w:space="0"/>
            <w:col w:w="9164" w:space="0"/>
            <w:col w:w="9044" w:space="0"/>
            <w:col w:w="9044" w:space="0"/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tabs>
          <w:tab w:pos="500" w:val="left"/>
          <w:tab w:pos="6680" w:val="left"/>
        </w:tabs>
        <w:autoSpaceDE w:val="0"/>
        <w:widowControl/>
        <w:spacing w:line="316" w:lineRule="exact" w:before="16" w:after="306"/>
        <w:ind w:left="14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Unit-2: Important steps of research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Reviewing the literature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Formulating a research problem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Identifying variables: What is variables?, Types of variablesConstructing hypothesis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Types of measurement scale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3.5 Data collection</w:t>
      </w:r>
    </w:p>
    <w:p>
      <w:pPr>
        <w:sectPr>
          <w:type w:val="continuous"/>
          <w:pgSz w:w="11906" w:h="16838"/>
          <w:pgMar w:top="282" w:right="1280" w:bottom="864" w:left="1300" w:header="720" w:footer="720" w:gutter="0"/>
          <w:cols w:space="720" w:num="1" w:equalWidth="0">
            <w:col w:w="9326" w:space="0"/>
            <w:col w:w="5570" w:space="0"/>
            <w:col w:w="3755" w:space="0"/>
            <w:col w:w="9326" w:space="0"/>
            <w:col w:w="9056" w:space="0"/>
            <w:col w:w="9044" w:space="0"/>
            <w:col w:w="9164" w:space="0"/>
            <w:col w:w="9044" w:space="0"/>
            <w:col w:w="9044" w:space="0"/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16" w:lineRule="exact" w:before="16" w:after="0"/>
        <w:ind w:left="498" w:right="2016" w:hanging="358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Unit-3: Constructing Hypothesis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Defination of Hypothesis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The function of Hypothesis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Testing of a hypothesis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Characteristics of hypothesis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3.5 Types of hypothesis</w:t>
      </w:r>
    </w:p>
    <w:p>
      <w:pPr>
        <w:autoSpaceDN w:val="0"/>
        <w:autoSpaceDE w:val="0"/>
        <w:widowControl/>
        <w:spacing w:line="316" w:lineRule="exact" w:before="324" w:after="0"/>
        <w:ind w:left="860" w:right="144" w:hanging="72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Unit-4: Research design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4.1Need for a research design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4.2 Important concept relating to research design</w:t>
      </w:r>
    </w:p>
    <w:p>
      <w:pPr>
        <w:sectPr>
          <w:type w:val="continuous"/>
          <w:pgSz w:w="11906" w:h="16838"/>
          <w:pgMar w:top="282" w:right="1280" w:bottom="864" w:left="1300" w:header="720" w:footer="720" w:gutter="0"/>
          <w:cols w:space="720" w:num="2" w:equalWidth="0">
            <w:col w:w="5758" w:space="0"/>
            <w:col w:w="3567" w:space="0"/>
            <w:col w:w="9326" w:space="0"/>
            <w:col w:w="5570" w:space="0"/>
            <w:col w:w="3755" w:space="0"/>
            <w:col w:w="9326" w:space="0"/>
            <w:col w:w="9056" w:space="0"/>
            <w:col w:w="9044" w:space="0"/>
            <w:col w:w="9164" w:space="0"/>
            <w:col w:w="9044" w:space="0"/>
            <w:col w:w="9044" w:space="0"/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0"/>
        <w:ind w:left="2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07 Hrs)</w:t>
      </w:r>
    </w:p>
    <w:p>
      <w:pPr>
        <w:autoSpaceDN w:val="0"/>
        <w:autoSpaceDE w:val="0"/>
        <w:widowControl/>
        <w:spacing w:line="332" w:lineRule="exact" w:before="1892" w:after="0"/>
        <w:ind w:left="2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07 Hrs)</w:t>
      </w:r>
    </w:p>
    <w:p>
      <w:pPr>
        <w:sectPr>
          <w:type w:val="nextColumn"/>
          <w:pgSz w:w="11906" w:h="16838"/>
          <w:pgMar w:top="282" w:right="1280" w:bottom="864" w:left="1300" w:header="720" w:footer="720" w:gutter="0"/>
          <w:cols w:space="720" w:num="2" w:equalWidth="0">
            <w:col w:w="5758" w:space="0"/>
            <w:col w:w="3567" w:space="0"/>
            <w:col w:w="9326" w:space="0"/>
            <w:col w:w="5570" w:space="0"/>
            <w:col w:w="3755" w:space="0"/>
            <w:col w:w="9326" w:space="0"/>
            <w:col w:w="9056" w:space="0"/>
            <w:col w:w="9044" w:space="0"/>
            <w:col w:w="9164" w:space="0"/>
            <w:col w:w="9044" w:space="0"/>
            <w:col w:w="9044" w:space="0"/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12"/>
        <w:ind w:left="0" w:right="0"/>
      </w:pPr>
    </w:p>
    <w:p>
      <w:pPr>
        <w:sectPr>
          <w:pgSz w:w="11906" w:h="16838"/>
          <w:pgMar w:top="282" w:right="1376" w:bottom="1342" w:left="1440" w:header="720" w:footer="720" w:gutter="0"/>
          <w:cols w:space="720" w:num="2" w:equalWidth="0">
            <w:col w:w="5758" w:space="0"/>
            <w:col w:w="3567" w:space="0"/>
            <w:col w:w="9326" w:space="0"/>
            <w:col w:w="5570" w:space="0"/>
            <w:col w:w="3755" w:space="0"/>
            <w:col w:w="9326" w:space="0"/>
            <w:col w:w="9056" w:space="0"/>
            <w:col w:w="9044" w:space="0"/>
            <w:col w:w="9164" w:space="0"/>
            <w:col w:w="9044" w:space="0"/>
            <w:col w:w="9044" w:space="0"/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16" w:lineRule="exact" w:before="8" w:after="0"/>
        <w:ind w:left="72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Basic principles of experimental designs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4.4 Important experimental designs</w:t>
      </w:r>
    </w:p>
    <w:p>
      <w:pPr>
        <w:autoSpaceDN w:val="0"/>
        <w:autoSpaceDE w:val="0"/>
        <w:widowControl/>
        <w:spacing w:line="316" w:lineRule="exact" w:before="326" w:after="0"/>
        <w:ind w:left="360" w:right="0" w:hanging="3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Unit-5: Data collection &amp; preparation process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Collection of primary data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Collection of secondary data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Selection of appropriate method for data collection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5.4 Data preparation process</w:t>
      </w:r>
    </w:p>
    <w:p>
      <w:pPr>
        <w:sectPr>
          <w:type w:val="continuous"/>
          <w:pgSz w:w="11906" w:h="16838"/>
          <w:pgMar w:top="282" w:right="1376" w:bottom="1342" w:left="1440" w:header="720" w:footer="720" w:gutter="0"/>
          <w:cols w:space="720" w:num="2" w:equalWidth="0">
            <w:col w:w="5746" w:space="0"/>
            <w:col w:w="3344" w:space="0"/>
            <w:col w:w="5758" w:space="0"/>
            <w:col w:w="3567" w:space="0"/>
            <w:col w:w="9326" w:space="0"/>
            <w:col w:w="5570" w:space="0"/>
            <w:col w:w="3755" w:space="0"/>
            <w:col w:w="9326" w:space="0"/>
            <w:col w:w="9056" w:space="0"/>
            <w:col w:w="9044" w:space="0"/>
            <w:col w:w="9164" w:space="0"/>
            <w:col w:w="9044" w:space="0"/>
            <w:col w:w="9044" w:space="0"/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936" w:after="1570"/>
        <w:ind w:left="7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08 Hrs)</w:t>
      </w:r>
    </w:p>
    <w:p>
      <w:pPr>
        <w:sectPr>
          <w:type w:val="nextColumn"/>
          <w:pgSz w:w="11906" w:h="16838"/>
          <w:pgMar w:top="282" w:right="1376" w:bottom="1342" w:left="1440" w:header="720" w:footer="720" w:gutter="0"/>
          <w:cols w:space="720" w:num="2" w:equalWidth="0">
            <w:col w:w="5746" w:space="0"/>
            <w:col w:w="3344" w:space="0"/>
            <w:col w:w="5758" w:space="0"/>
            <w:col w:w="3567" w:space="0"/>
            <w:col w:w="9326" w:space="0"/>
            <w:col w:w="5570" w:space="0"/>
            <w:col w:w="3755" w:space="0"/>
            <w:col w:w="9326" w:space="0"/>
            <w:col w:w="9056" w:space="0"/>
            <w:col w:w="9044" w:space="0"/>
            <w:col w:w="9164" w:space="0"/>
            <w:col w:w="9044" w:space="0"/>
            <w:col w:w="9044" w:space="0"/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tabs>
          <w:tab w:pos="360" w:val="left"/>
          <w:tab w:pos="5100" w:val="left"/>
        </w:tabs>
        <w:autoSpaceDE w:val="0"/>
        <w:widowControl/>
        <w:spacing w:line="316" w:lineRule="exact" w:before="16" w:after="0"/>
        <w:ind w:left="0" w:right="187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Unit-6: Literature citation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5.5 Different systems of citing references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5.6 Citation in text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5.7 Placement of reference section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5.8 Format of reference section</w:t>
      </w:r>
    </w:p>
    <w:p>
      <w:pPr>
        <w:autoSpaceDN w:val="0"/>
        <w:tabs>
          <w:tab w:pos="360" w:val="left"/>
          <w:tab w:pos="5100" w:val="left"/>
        </w:tabs>
        <w:autoSpaceDE w:val="0"/>
        <w:widowControl/>
        <w:spacing w:line="316" w:lineRule="exact" w:before="322" w:after="308"/>
        <w:ind w:left="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Unit-7: Research Report – Tables &amp; Figures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Introduction and placement of tables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Format of table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Introduction and placement of figures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Numbering &amp; caption of figures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6.5 Preparation of statistical diagrams, photographs &amp; microphotograps</w:t>
      </w:r>
    </w:p>
    <w:p>
      <w:pPr>
        <w:sectPr>
          <w:type w:val="continuous"/>
          <w:pgSz w:w="11906" w:h="16838"/>
          <w:pgMar w:top="282" w:right="1376" w:bottom="1342" w:left="1440" w:header="720" w:footer="720" w:gutter="0"/>
          <w:cols w:space="720" w:num="1" w:equalWidth="0">
            <w:col w:w="9090" w:space="0"/>
            <w:col w:w="5746" w:space="0"/>
            <w:col w:w="3344" w:space="0"/>
            <w:col w:w="5758" w:space="0"/>
            <w:col w:w="3567" w:space="0"/>
            <w:col w:w="9326" w:space="0"/>
            <w:col w:w="5570" w:space="0"/>
            <w:col w:w="3755" w:space="0"/>
            <w:col w:w="9326" w:space="0"/>
            <w:col w:w="9056" w:space="0"/>
            <w:col w:w="9044" w:space="0"/>
            <w:col w:w="9164" w:space="0"/>
            <w:col w:w="9044" w:space="0"/>
            <w:col w:w="9044" w:space="0"/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16" w:lineRule="exact" w:before="16" w:after="0"/>
        <w:ind w:left="360" w:right="864" w:hanging="3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Unit-8: Writing a Research proposal &amp; report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Contents of research proposal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5.2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Components of research report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Research report - Formatting &amp; typing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5.4 Plagiarism</w:t>
      </w:r>
    </w:p>
    <w:p>
      <w:pPr>
        <w:sectPr>
          <w:type w:val="continuous"/>
          <w:pgSz w:w="11906" w:h="16838"/>
          <w:pgMar w:top="282" w:right="1376" w:bottom="1342" w:left="1440" w:header="720" w:footer="720" w:gutter="0"/>
          <w:cols w:space="720" w:num="2" w:equalWidth="0">
            <w:col w:w="5628" w:space="0"/>
            <w:col w:w="3462" w:space="0"/>
            <w:col w:w="9090" w:space="0"/>
            <w:col w:w="5746" w:space="0"/>
            <w:col w:w="3344" w:space="0"/>
            <w:col w:w="5758" w:space="0"/>
            <w:col w:w="3567" w:space="0"/>
            <w:col w:w="9326" w:space="0"/>
            <w:col w:w="5570" w:space="0"/>
            <w:col w:w="3755" w:space="0"/>
            <w:col w:w="9326" w:space="0"/>
            <w:col w:w="9056" w:space="0"/>
            <w:col w:w="9044" w:space="0"/>
            <w:col w:w="9164" w:space="0"/>
            <w:col w:w="9044" w:space="0"/>
            <w:col w:w="9044" w:space="0"/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1910"/>
        <w:ind w:left="0" w:right="63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08 Hrs)</w:t>
      </w:r>
    </w:p>
    <w:p>
      <w:pPr>
        <w:sectPr>
          <w:type w:val="nextColumn"/>
          <w:pgSz w:w="11906" w:h="16838"/>
          <w:pgMar w:top="282" w:right="1376" w:bottom="1342" w:left="1440" w:header="720" w:footer="720" w:gutter="0"/>
          <w:cols w:space="720" w:num="2" w:equalWidth="0">
            <w:col w:w="5628" w:space="0"/>
            <w:col w:w="3462" w:space="0"/>
            <w:col w:w="9090" w:space="0"/>
            <w:col w:w="5746" w:space="0"/>
            <w:col w:w="3344" w:space="0"/>
            <w:col w:w="5758" w:space="0"/>
            <w:col w:w="3567" w:space="0"/>
            <w:col w:w="9326" w:space="0"/>
            <w:col w:w="5570" w:space="0"/>
            <w:col w:w="3755" w:space="0"/>
            <w:col w:w="9326" w:space="0"/>
            <w:col w:w="9056" w:space="0"/>
            <w:col w:w="9044" w:space="0"/>
            <w:col w:w="9164" w:space="0"/>
            <w:col w:w="9044" w:space="0"/>
            <w:col w:w="9044" w:space="0"/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16" w:lineRule="exact" w:before="1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Book: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Gurumani N. (2011) Research Methodology For Biological Sciences, MJP Publishers,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Chennai (ISBN: 978-81-8094-016-0)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Kumar, R. (2005).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A Step-by-step Guide for Beginners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Sage Publications. (ISBN: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70757A"/>
          <w:sz w:val="24"/>
        </w:rPr>
        <w:t>9788132106487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)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Kothari, C. R. (2004).</w:t>
      </w:r>
      <w:r>
        <w:rPr>
          <w:rFonts w:ascii="TimesNewRomanPS" w:hAnsi="TimesNewRomanPS" w:eastAsia="TimesNewRomanPS"/>
          <w:b w:val="0"/>
          <w:i/>
          <w:color w:val="222222"/>
          <w:sz w:val="24"/>
        </w:rPr>
        <w:t xml:space="preserve"> Research methodology: Methods and techniques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. New Age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International.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(ISBN: 978-81-224-2488-1)</w:t>
      </w:r>
    </w:p>
    <w:p>
      <w:pPr>
        <w:autoSpaceDN w:val="0"/>
        <w:tabs>
          <w:tab w:pos="1080" w:val="left"/>
          <w:tab w:pos="1440" w:val="left"/>
        </w:tabs>
        <w:autoSpaceDE w:val="0"/>
        <w:widowControl/>
        <w:spacing w:line="314" w:lineRule="exact" w:before="32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Further Reading: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Singh, Y. K. (2015) Fundamental of Research Methodology and Statistic New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Age International (P) Ltd., Publishers - New Delhi (ISBN: 978-81-224-2418-8)</w:t>
      </w:r>
    </w:p>
    <w:p>
      <w:pPr>
        <w:sectPr>
          <w:type w:val="continuous"/>
          <w:pgSz w:w="11906" w:h="16838"/>
          <w:pgMar w:top="282" w:right="1376" w:bottom="1342" w:left="1440" w:header="720" w:footer="720" w:gutter="0"/>
          <w:cols w:space="720" w:num="1" w:equalWidth="0">
            <w:col w:w="9090" w:space="0"/>
            <w:col w:w="5628" w:space="0"/>
            <w:col w:w="3462" w:space="0"/>
            <w:col w:w="9090" w:space="0"/>
            <w:col w:w="5746" w:space="0"/>
            <w:col w:w="3344" w:space="0"/>
            <w:col w:w="5758" w:space="0"/>
            <w:col w:w="3567" w:space="0"/>
            <w:col w:w="9326" w:space="0"/>
            <w:col w:w="5570" w:space="0"/>
            <w:col w:w="3755" w:space="0"/>
            <w:col w:w="9326" w:space="0"/>
            <w:col w:w="9056" w:space="0"/>
            <w:col w:w="9044" w:space="0"/>
            <w:col w:w="9164" w:space="0"/>
            <w:col w:w="9044" w:space="0"/>
            <w:col w:w="9044" w:space="0"/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40.0" w:type="dxa"/>
      </w:tblPr>
      <w:tblGrid>
        <w:gridCol w:w="4522"/>
        <w:gridCol w:w="4522"/>
      </w:tblGrid>
      <w:tr>
        <w:trPr>
          <w:trHeight w:hRule="exact" w:val="1236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44" w:after="0"/>
              <w:ind w:left="0" w:right="808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>List of Practical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18" w:lineRule="exact" w:before="252" w:after="0"/>
        <w:ind w:left="360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Searching of scientific journals &amp; resources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Preparation of graphs and tables to present the scientific data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3) Online grammar checking in scientific writing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4) References management by online tools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5) Plagiarisms checking</w:t>
      </w:r>
    </w:p>
    <w:p>
      <w:pPr>
        <w:autoSpaceDN w:val="0"/>
        <w:autoSpaceDE w:val="0"/>
        <w:widowControl/>
        <w:spacing w:line="324" w:lineRule="exact" w:before="630" w:after="0"/>
        <w:ind w:left="0" w:right="309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************</w:t>
      </w:r>
    </w:p>
    <w:p>
      <w:pPr>
        <w:sectPr>
          <w:pgSz w:w="11906" w:h="16838"/>
          <w:pgMar w:top="282" w:right="1422" w:bottom="1440" w:left="1440" w:header="720" w:footer="720" w:gutter="0"/>
          <w:cols w:space="720" w:num="1" w:equalWidth="0">
            <w:col w:w="9044" w:space="0"/>
            <w:col w:w="9090" w:space="0"/>
            <w:col w:w="5628" w:space="0"/>
            <w:col w:w="3462" w:space="0"/>
            <w:col w:w="9090" w:space="0"/>
            <w:col w:w="5746" w:space="0"/>
            <w:col w:w="3344" w:space="0"/>
            <w:col w:w="5758" w:space="0"/>
            <w:col w:w="3567" w:space="0"/>
            <w:col w:w="9326" w:space="0"/>
            <w:col w:w="5570" w:space="0"/>
            <w:col w:w="3755" w:space="0"/>
            <w:col w:w="9326" w:space="0"/>
            <w:col w:w="9056" w:space="0"/>
            <w:col w:w="9044" w:space="0"/>
            <w:col w:w="9164" w:space="0"/>
            <w:col w:w="9044" w:space="0"/>
            <w:col w:w="9044" w:space="0"/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26.0" w:type="dxa"/>
      </w:tblPr>
      <w:tblGrid>
        <w:gridCol w:w="4912"/>
        <w:gridCol w:w="4912"/>
      </w:tblGrid>
      <w:tr>
        <w:trPr>
          <w:trHeight w:hRule="exact" w:val="1236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44" w:after="0"/>
              <w:ind w:left="0" w:right="68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Bioentrepreneurship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4912"/>
        <w:gridCol w:w="4912"/>
      </w:tblGrid>
      <w:tr>
        <w:trPr>
          <w:trHeight w:hRule="exact" w:val="528"/>
        </w:trPr>
        <w:tc>
          <w:tcPr>
            <w:tcW w:type="dxa" w:w="524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Science</w:t>
            </w:r>
          </w:p>
        </w:tc>
        <w:tc>
          <w:tcPr>
            <w:tcW w:type="dxa" w:w="45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Department: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Biotechnology</w:t>
            </w:r>
          </w:p>
        </w:tc>
      </w:tr>
      <w:tr>
        <w:trPr>
          <w:trHeight w:hRule="exact" w:val="526"/>
        </w:trPr>
        <w:tc>
          <w:tcPr>
            <w:tcW w:type="dxa" w:w="524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M.Sc. Sem-III</w:t>
            </w:r>
          </w:p>
        </w:tc>
        <w:tc>
          <w:tcPr>
            <w:tcW w:type="dxa" w:w="45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DSE-3</w:t>
            </w:r>
          </w:p>
        </w:tc>
      </w:tr>
      <w:tr>
        <w:trPr>
          <w:trHeight w:hRule="exact" w:val="528"/>
        </w:trPr>
        <w:tc>
          <w:tcPr>
            <w:tcW w:type="dxa" w:w="978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Bioentrepreneurship</w:t>
            </w:r>
          </w:p>
        </w:tc>
      </w:tr>
      <w:tr>
        <w:trPr>
          <w:trHeight w:hRule="exact" w:val="528"/>
        </w:trPr>
        <w:tc>
          <w:tcPr>
            <w:tcW w:type="dxa" w:w="524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04</w:t>
            </w:r>
          </w:p>
        </w:tc>
        <w:tc>
          <w:tcPr>
            <w:tcW w:type="dxa" w:w="45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 Learning Hours: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60</w:t>
            </w:r>
          </w:p>
        </w:tc>
      </w:tr>
      <w:tr>
        <w:trPr>
          <w:trHeight w:hRule="exact" w:val="1162"/>
        </w:trPr>
        <w:tc>
          <w:tcPr>
            <w:tcW w:type="dxa" w:w="978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8" w:after="0"/>
              <w:ind w:left="104" w:right="104" w:hanging="2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Description: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This course introduces students to basic concepts of Bio- Entrepreneurship. 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will also inculcate the importance, need &amp; applications of these areas. This course will prepare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students for becoming an entrepreneur.</w:t>
            </w:r>
          </w:p>
        </w:tc>
      </w:tr>
      <w:tr>
        <w:trPr>
          <w:trHeight w:hRule="exact" w:val="2914"/>
        </w:trPr>
        <w:tc>
          <w:tcPr>
            <w:tcW w:type="dxa" w:w="978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2" w:lineRule="exact" w:before="0" w:after="0"/>
              <w:ind w:left="102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the course, students will be: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1)Student will be able to appreciate the importance of Bio-Entrepreneurship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2)Student will be able to exposed to different concepts needed for practical execution when they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work as Entrepreneur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3) Student will gain skills useful for becoming an entrepreneur</w:t>
            </w:r>
          </w:p>
        </w:tc>
      </w:tr>
    </w:tbl>
    <w:p>
      <w:pPr>
        <w:autoSpaceDN w:val="0"/>
        <w:autoSpaceDE w:val="0"/>
        <w:widowControl/>
        <w:spacing w:line="496" w:lineRule="exact" w:before="264" w:after="0"/>
        <w:ind w:left="404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1 Introduction to Entrepreneurship (08 Hours)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Definitions &amp; Concepts -Entrepreneur, Entrepreneurship, MSMEs, Enterprise &amp; Startups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Process of Entrepreneurship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Competencies &amp; Skills/ Qualities of an Entrepreneur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Types of Entrepreneurs &amp; Enterprise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1.5 Advantages &amp; Disadvantages of Entrepreneurship</w:t>
      </w:r>
    </w:p>
    <w:p>
      <w:pPr>
        <w:autoSpaceDN w:val="0"/>
        <w:autoSpaceDE w:val="0"/>
        <w:widowControl/>
        <w:spacing w:line="488" w:lineRule="exact" w:before="472" w:after="0"/>
        <w:ind w:left="404" w:right="273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2 Biotechnology Entrepreneurship (09 Hours)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Concept of Biotechnology Entrepreneurship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Significance of the Biotechnology Entrepreneur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Biotechnology entrepreneurship versus general entrepreneurship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 Essential biotechnology entrepreneurial characteristics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2.5 Backgrounds of biotechnology entrepreneurs</w:t>
      </w:r>
    </w:p>
    <w:p>
      <w:pPr>
        <w:sectPr>
          <w:pgSz w:w="11906" w:h="16838"/>
          <w:pgMar w:top="282" w:right="1048" w:bottom="1020" w:left="1034" w:header="720" w:footer="720" w:gutter="0"/>
          <w:cols w:space="720" w:num="1" w:equalWidth="0">
            <w:col w:w="9824" w:space="0"/>
            <w:col w:w="9044" w:space="0"/>
            <w:col w:w="9090" w:space="0"/>
            <w:col w:w="5628" w:space="0"/>
            <w:col w:w="3462" w:space="0"/>
            <w:col w:w="9090" w:space="0"/>
            <w:col w:w="5746" w:space="0"/>
            <w:col w:w="3344" w:space="0"/>
            <w:col w:w="5758" w:space="0"/>
            <w:col w:w="3567" w:space="0"/>
            <w:col w:w="9326" w:space="0"/>
            <w:col w:w="5570" w:space="0"/>
            <w:col w:w="3755" w:space="0"/>
            <w:col w:w="9326" w:space="0"/>
            <w:col w:w="9056" w:space="0"/>
            <w:col w:w="9044" w:space="0"/>
            <w:col w:w="9164" w:space="0"/>
            <w:col w:w="9044" w:space="0"/>
            <w:col w:w="9044" w:space="0"/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8" w:lineRule="exact" w:before="26" w:after="0"/>
        <w:ind w:left="2" w:right="0" w:hanging="2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2.6 Fuel, Feed and Heal the world through Biotechnology Entrepreneurship: Industrial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Environmental Biotechnology, Food and Agricultural Biotechnology, Health Biotechnology.</w:t>
      </w:r>
    </w:p>
    <w:p>
      <w:pPr>
        <w:autoSpaceDN w:val="0"/>
        <w:autoSpaceDE w:val="0"/>
        <w:widowControl/>
        <w:spacing w:line="496" w:lineRule="exact" w:before="464" w:after="0"/>
        <w:ind w:left="0" w:right="230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3 Financial Management &amp; Financial Statements (09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Approaches to managing capital &amp; cost of capital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Working capital &amp; cash flow planning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Financial Planning &amp; Budgets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Statement showing financial position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3.5 Measuring &amp; reporting financial performance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3.6 Accounting conventions &amp; concepts</w:t>
      </w:r>
    </w:p>
    <w:p>
      <w:pPr>
        <w:autoSpaceDN w:val="0"/>
        <w:autoSpaceDE w:val="0"/>
        <w:widowControl/>
        <w:spacing w:line="494" w:lineRule="exact" w:before="426" w:after="0"/>
        <w:ind w:left="0" w:right="345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4 Project Management (07 hours)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Project: Concept &amp; Classification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Project Formulation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Project Reporting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Project Appraisal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5 Entrepreneurial Planning &amp; HRM (06hours)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Basic legal forms of organizations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Company formation,ownership structure &amp; securities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Human resource &amp; business strategies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Workforce Planning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5.5 HRM Functions</w:t>
      </w:r>
    </w:p>
    <w:p>
      <w:pPr>
        <w:autoSpaceDN w:val="0"/>
        <w:autoSpaceDE w:val="0"/>
        <w:widowControl/>
        <w:spacing w:line="492" w:lineRule="exact" w:before="468" w:after="0"/>
        <w:ind w:left="0" w:right="316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6 Case studies of Biotech Entrepreneurs (06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6.1 Shantha Biotech: Unleashing Biotechnology in India.</w:t>
      </w:r>
    </w:p>
    <w:p>
      <w:pPr>
        <w:autoSpaceDN w:val="0"/>
        <w:autoSpaceDE w:val="0"/>
        <w:widowControl/>
        <w:spacing w:line="324" w:lineRule="exact" w:before="1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6.2 Aravind Eye Hospital: Making a Dent in Global Blindness.</w:t>
      </w:r>
    </w:p>
    <w:p>
      <w:pPr>
        <w:autoSpaceDN w:val="0"/>
        <w:autoSpaceDE w:val="0"/>
        <w:widowControl/>
        <w:spacing w:line="476" w:lineRule="exact" w:before="0" w:after="0"/>
        <w:ind w:left="0" w:right="21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Centocor: Diagnostics Company on Monoclonal Antibodies.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Suguna Poultry Farm Ltd: Hard work, No compromise, No excuse.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6.5 The Surat Transformation: Urban Renewal.</w:t>
      </w:r>
    </w:p>
    <w:p>
      <w:pPr>
        <w:sectPr>
          <w:pgSz w:w="11906" w:h="16838"/>
          <w:pgMar w:top="284" w:right="1422" w:bottom="826" w:left="1438" w:header="720" w:footer="720" w:gutter="0"/>
          <w:cols w:space="720" w:num="1" w:equalWidth="0">
            <w:col w:w="9046" w:space="0"/>
            <w:col w:w="9824" w:space="0"/>
            <w:col w:w="9044" w:space="0"/>
            <w:col w:w="9090" w:space="0"/>
            <w:col w:w="5628" w:space="0"/>
            <w:col w:w="3462" w:space="0"/>
            <w:col w:w="9090" w:space="0"/>
            <w:col w:w="5746" w:space="0"/>
            <w:col w:w="3344" w:space="0"/>
            <w:col w:w="5758" w:space="0"/>
            <w:col w:w="3567" w:space="0"/>
            <w:col w:w="9326" w:space="0"/>
            <w:col w:w="5570" w:space="0"/>
            <w:col w:w="3755" w:space="0"/>
            <w:col w:w="9326" w:space="0"/>
            <w:col w:w="9056" w:space="0"/>
            <w:col w:w="9044" w:space="0"/>
            <w:col w:w="9164" w:space="0"/>
            <w:col w:w="9044" w:space="0"/>
            <w:col w:w="9044" w:space="0"/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98" w:lineRule="exact" w:before="272" w:after="0"/>
        <w:ind w:left="0" w:right="259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7 Introduction to IPR (06 Hours)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History &amp; Definition of IPR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Forms/ Types of IPR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Traditional Knowledge, Commercial Exploitation &amp; Protection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7.4 Protection of Biotechnological Inventions</w:t>
      </w:r>
    </w:p>
    <w:p>
      <w:pPr>
        <w:autoSpaceDN w:val="0"/>
        <w:autoSpaceDE w:val="0"/>
        <w:widowControl/>
        <w:spacing w:line="496" w:lineRule="exact" w:before="464" w:after="0"/>
        <w:ind w:left="0" w:right="43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8 Introduction to Patent (09 Hours)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Introduction &amp; Types of Patent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Requirements for Patenting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Procedure of Patent Application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8.4 Various types of patent applications in India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8.5 Patent Search</w:t>
      </w:r>
    </w:p>
    <w:p>
      <w:pPr>
        <w:autoSpaceDN w:val="0"/>
        <w:autoSpaceDE w:val="0"/>
        <w:widowControl/>
        <w:spacing w:line="332" w:lineRule="exact" w:before="630" w:after="68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1.9999999999999" w:type="dxa"/>
      </w:tblPr>
      <w:tblGrid>
        <w:gridCol w:w="4523"/>
        <w:gridCol w:w="4523"/>
      </w:tblGrid>
      <w:tr>
        <w:trPr>
          <w:trHeight w:hRule="exact" w:val="421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0" w:after="0"/>
              <w:ind w:left="0" w:right="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</w:p>
          <w:p>
            <w:pPr>
              <w:autoSpaceDN w:val="0"/>
              <w:autoSpaceDE w:val="0"/>
              <w:widowControl/>
              <w:spacing w:line="492" w:lineRule="exact" w:before="400" w:after="0"/>
              <w:ind w:left="200" w:right="9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86" w:after="0"/>
              <w:ind w:left="12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Bioentrepreneurship Development: A Resource Book Prepared by Biotech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Consortium India Limited (BCIL), New Delhi Compiled by: Ms. Shreya Sanghvi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Malik, Deputy Manager Dr. Shiv Kant Shukla, Deputy General Manage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Biotechnology Entrepreneurship (2014) Craig Shimasaki, Academic Press, USA.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Dynamics of Entrepreneurial Development and Management (2005) Vasant Desai,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Himalaya Publishing House.</w:t>
            </w:r>
          </w:p>
          <w:p>
            <w:pPr>
              <w:autoSpaceDN w:val="0"/>
              <w:autoSpaceDE w:val="0"/>
              <w:widowControl/>
              <w:spacing w:line="296" w:lineRule="exact" w:before="28" w:after="0"/>
              <w:ind w:left="12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Making Breakthrough Innovation Happen: How Eleven Indians Pulled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Impossible (2009) Porus Mushi, HarperCollins Publishers India.</w:t>
            </w:r>
          </w:p>
          <w:p>
            <w:pPr>
              <w:autoSpaceDN w:val="0"/>
              <w:autoSpaceDE w:val="0"/>
              <w:widowControl/>
              <w:spacing w:line="298" w:lineRule="exact" w:before="24" w:after="0"/>
              <w:ind w:left="12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CII Entrepreneur Hand Book: Practical Advice for Starting a New Business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(2010) Sushila Ravindranath, Westland Ltd.</w:t>
            </w:r>
          </w:p>
          <w:p>
            <w:pPr>
              <w:autoSpaceDN w:val="0"/>
              <w:autoSpaceDE w:val="0"/>
              <w:widowControl/>
              <w:spacing w:line="298" w:lineRule="exact" w:before="26" w:after="0"/>
              <w:ind w:left="12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Game Changers: 20 extraordinary success stories of Entrepreneurs (2013) 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Modi, R. Kumar &amp; A. Kothari, Random House Publishers India Pvt. Ltd.</w:t>
            </w:r>
          </w:p>
          <w:p>
            <w:pPr>
              <w:autoSpaceDN w:val="0"/>
              <w:autoSpaceDE w:val="0"/>
              <w:widowControl/>
              <w:spacing w:line="276" w:lineRule="exact" w:before="48" w:after="0"/>
              <w:ind w:left="120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Bioethics &amp; Biosafety by M K Sateesh ,I K International Pub. Ltd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Biotechnology Expanding Horizons by B D Singh, Kalyani Pub.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4" w:right="1422" w:bottom="1440" w:left="1438" w:header="720" w:footer="720" w:gutter="0"/>
          <w:cols w:space="720" w:num="1" w:equalWidth="0">
            <w:col w:w="9046" w:space="0"/>
            <w:col w:w="9046" w:space="0"/>
            <w:col w:w="9824" w:space="0"/>
            <w:col w:w="9044" w:space="0"/>
            <w:col w:w="9090" w:space="0"/>
            <w:col w:w="5628" w:space="0"/>
            <w:col w:w="3462" w:space="0"/>
            <w:col w:w="9090" w:space="0"/>
            <w:col w:w="5746" w:space="0"/>
            <w:col w:w="3344" w:space="0"/>
            <w:col w:w="5758" w:space="0"/>
            <w:col w:w="3567" w:space="0"/>
            <w:col w:w="9326" w:space="0"/>
            <w:col w:w="5570" w:space="0"/>
            <w:col w:w="3755" w:space="0"/>
            <w:col w:w="9326" w:space="0"/>
            <w:col w:w="9056" w:space="0"/>
            <w:col w:w="9044" w:space="0"/>
            <w:col w:w="9164" w:space="0"/>
            <w:col w:w="9044" w:space="0"/>
            <w:col w:w="9044" w:space="0"/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78.0" w:type="dxa"/>
      </w:tblPr>
      <w:tblGrid>
        <w:gridCol w:w="4964"/>
        <w:gridCol w:w="4964"/>
      </w:tblGrid>
      <w:tr>
        <w:trPr>
          <w:trHeight w:hRule="exact" w:val="1236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44" w:after="0"/>
              <w:ind w:left="0" w:right="40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Application of Green Chemistry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03020" cy="54737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309"/>
        <w:gridCol w:w="3309"/>
        <w:gridCol w:w="3309"/>
      </w:tblGrid>
      <w:tr>
        <w:trPr>
          <w:trHeight w:hRule="exact" w:val="328"/>
        </w:trPr>
        <w:tc>
          <w:tcPr>
            <w:tcW w:type="dxa" w:w="524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 Science</w:t>
            </w:r>
          </w:p>
        </w:tc>
        <w:tc>
          <w:tcPr>
            <w:tcW w:type="dxa" w:w="46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ry</w:t>
            </w:r>
          </w:p>
        </w:tc>
      </w:tr>
      <w:tr>
        <w:trPr>
          <w:trHeight w:hRule="exact" w:val="328"/>
        </w:trPr>
        <w:tc>
          <w:tcPr>
            <w:tcW w:type="dxa" w:w="524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M.Sc. Sem-III</w:t>
            </w:r>
          </w:p>
        </w:tc>
        <w:tc>
          <w:tcPr>
            <w:tcW w:type="dxa" w:w="46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-3</w:t>
            </w:r>
          </w:p>
        </w:tc>
      </w:tr>
      <w:tr>
        <w:trPr>
          <w:trHeight w:hRule="exact" w:val="326"/>
        </w:trPr>
        <w:tc>
          <w:tcPr>
            <w:tcW w:type="dxa" w:w="9888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 Application of Green Chemistry</w:t>
            </w:r>
          </w:p>
        </w:tc>
      </w:tr>
      <w:tr>
        <w:trPr>
          <w:trHeight w:hRule="exact" w:val="328"/>
        </w:trPr>
        <w:tc>
          <w:tcPr>
            <w:tcW w:type="dxa" w:w="48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04(T) + 02 (P)</w:t>
            </w:r>
          </w:p>
        </w:tc>
        <w:tc>
          <w:tcPr>
            <w:tcW w:type="dxa" w:w="4998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46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hour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2548"/>
        </w:trPr>
        <w:tc>
          <w:tcPr>
            <w:tcW w:type="dxa" w:w="9888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4944"/>
              <w:gridCol w:w="4944"/>
            </w:tblGrid>
            <w:tr>
              <w:trPr>
                <w:trHeight w:hRule="exact" w:val="302"/>
              </w:trPr>
              <w:tc>
                <w:tcPr>
                  <w:tcW w:type="dxa" w:w="98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8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Course description: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Students shall be able to underst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nd: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56" w:after="0"/>
                    <w:ind w:left="32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</w:t>
                  </w:r>
                </w:p>
              </w:tc>
              <w:tc>
                <w:tcPr>
                  <w:tcW w:type="dxa" w:w="956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15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 functional concept of the field of green chemistry.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54" w:after="0"/>
                    <w:ind w:left="32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</w:t>
                  </w:r>
                </w:p>
              </w:tc>
              <w:tc>
                <w:tcPr>
                  <w:tcW w:type="dxa" w:w="956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5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The 12 principles of green chemistry.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50" w:after="0"/>
                    <w:ind w:left="32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</w:t>
                  </w:r>
                </w:p>
              </w:tc>
              <w:tc>
                <w:tcPr>
                  <w:tcW w:type="dxa" w:w="956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15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Several real-world examples where organizations used green chemistry to improve the</w:t>
                  </w:r>
                </w:p>
              </w:tc>
            </w:tr>
            <w:tr>
              <w:trPr>
                <w:trHeight w:hRule="exact" w:val="996"/>
              </w:trPr>
              <w:tc>
                <w:tcPr>
                  <w:tcW w:type="dxa" w:w="98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39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sustainability performance of their products.</w:t>
                  </w:r>
                </w:p>
                <w:p>
                  <w:pPr>
                    <w:autoSpaceDN w:val="0"/>
                    <w:autoSpaceDE w:val="0"/>
                    <w:widowControl/>
                    <w:spacing w:line="316" w:lineRule="exact" w:before="8" w:after="0"/>
                    <w:ind w:left="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How the practice of green chemistry enhances competitiveness, innovation and faster time to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market.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602"/>
        </w:trPr>
        <w:tc>
          <w:tcPr>
            <w:tcW w:type="dxa" w:w="9888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4" w:val="left"/>
              </w:tabs>
              <w:autoSpaceDE w:val="0"/>
              <w:widowControl/>
              <w:spacing w:line="312" w:lineRule="exact" w:before="20" w:after="6"/>
              <w:ind w:left="104" w:right="33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 the end of the course students will be able to...understand about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4.00000000000006" w:type="dxa"/>
            </w:tblPr>
            <w:tblGrid>
              <w:gridCol w:w="4944"/>
              <w:gridCol w:w="4944"/>
            </w:tblGrid>
            <w:tr>
              <w:trPr>
                <w:trHeight w:hRule="exact" w:val="1944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0" w:after="0"/>
                    <w:ind w:left="144" w:right="90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202124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202124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9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" w:after="0"/>
                    <w:ind w:left="10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02124"/>
                      <w:sz w:val="24"/>
                    </w:rPr>
                    <w:t xml:space="preserve">Green Chemistry is the design of chemical products and processes that reduce or eliminate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02124"/>
                      <w:sz w:val="24"/>
                    </w:rPr>
                    <w:t>the use and generation of hazardous substances.</w:t>
                  </w:r>
                </w:p>
                <w:p>
                  <w:pPr>
                    <w:autoSpaceDN w:val="0"/>
                    <w:autoSpaceDE w:val="0"/>
                    <w:widowControl/>
                    <w:spacing w:line="318" w:lineRule="exact" w:before="14" w:after="0"/>
                    <w:ind w:left="100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02124"/>
                      <w:sz w:val="24"/>
                    </w:rPr>
                    <w:t xml:space="preserve">This course will present the fundamentals of the 12 principles of green chemistry,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02124"/>
                      <w:sz w:val="24"/>
                    </w:rPr>
                    <w:t>explore relevant examples of their practical use in commercial applications.</w:t>
                  </w:r>
                </w:p>
                <w:p>
                  <w:pPr>
                    <w:autoSpaceDN w:val="0"/>
                    <w:autoSpaceDE w:val="0"/>
                    <w:widowControl/>
                    <w:spacing w:line="318" w:lineRule="exact" w:before="16" w:after="0"/>
                    <w:ind w:left="16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understand the environmental consequences of chemical manufacturing and illustrate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how these may be minimized.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tabs>
          <w:tab w:pos="838" w:val="left"/>
          <w:tab w:pos="8004" w:val="left"/>
        </w:tabs>
        <w:autoSpaceDE w:val="0"/>
        <w:widowControl/>
        <w:spacing w:line="316" w:lineRule="exact" w:before="304" w:after="0"/>
        <w:ind w:left="118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1 Application of green chemistry in daily life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(06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Green Dry cleaning of clothes, Green Bleaching Agents, green detergents, green dyes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Eco Friendly paints &amp; Waxes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Putting out Fires in a green way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Turning turbid water clear in a Green way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Biodegradable plastics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Computer chips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Green drugs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Solar cell, Solar water heater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Green building and construction Materials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Bleaching of paper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Reusable water Bottle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Bio Material &amp; Green fuel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Anti foulants and other green chemicals</w:t>
      </w:r>
    </w:p>
    <w:p>
      <w:pPr>
        <w:autoSpaceDN w:val="0"/>
        <w:tabs>
          <w:tab w:pos="838" w:val="left"/>
          <w:tab w:pos="8050" w:val="left"/>
        </w:tabs>
        <w:autoSpaceDE w:val="0"/>
        <w:widowControl/>
        <w:spacing w:line="316" w:lineRule="exact" w:before="322" w:after="0"/>
        <w:ind w:left="118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2 Application of green chemistry in pharmaceutical Industry.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(12Hours)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Green Pharmacy: Principle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Green Catalyst &amp; Biocatalyst used in pharmaceutical industry.</w:t>
      </w:r>
    </w:p>
    <w:p>
      <w:pPr>
        <w:autoSpaceDN w:val="0"/>
        <w:tabs>
          <w:tab w:pos="838" w:val="left"/>
        </w:tabs>
        <w:autoSpaceDE w:val="0"/>
        <w:widowControl/>
        <w:spacing w:line="316" w:lineRule="exact" w:before="6" w:after="0"/>
        <w:ind w:left="118" w:right="288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Green Solvents and it’s categories: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Water, Ionic liquids &amp; Supercritical CO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2,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Other Green Solvents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Solvent free processes,</w:t>
      </w:r>
    </w:p>
    <w:p>
      <w:pPr>
        <w:sectPr>
          <w:pgSz w:w="11906" w:h="16838"/>
          <w:pgMar w:top="282" w:right="656" w:bottom="746" w:left="1322" w:header="720" w:footer="720" w:gutter="0"/>
          <w:cols w:space="720" w:num="1" w:equalWidth="0">
            <w:col w:w="9928" w:space="0"/>
            <w:col w:w="9046" w:space="0"/>
            <w:col w:w="9046" w:space="0"/>
            <w:col w:w="9824" w:space="0"/>
            <w:col w:w="9044" w:space="0"/>
            <w:col w:w="9090" w:space="0"/>
            <w:col w:w="5628" w:space="0"/>
            <w:col w:w="3462" w:space="0"/>
            <w:col w:w="9090" w:space="0"/>
            <w:col w:w="5746" w:space="0"/>
            <w:col w:w="3344" w:space="0"/>
            <w:col w:w="5758" w:space="0"/>
            <w:col w:w="3567" w:space="0"/>
            <w:col w:w="9326" w:space="0"/>
            <w:col w:w="5570" w:space="0"/>
            <w:col w:w="3755" w:space="0"/>
            <w:col w:w="9326" w:space="0"/>
            <w:col w:w="9056" w:space="0"/>
            <w:col w:w="9044" w:space="0"/>
            <w:col w:w="9164" w:space="0"/>
            <w:col w:w="9044" w:space="0"/>
            <w:col w:w="9044" w:space="0"/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Green processes in Pharmaceutical development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Minimum Pharmacy Waste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 pharmaceutical products for degradation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Green Resources for Drug development through Ethan botany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Eco friendly Medicinal plants &amp; Ayurvedic preparation</w:t>
      </w:r>
    </w:p>
    <w:p>
      <w:pPr>
        <w:autoSpaceDN w:val="0"/>
        <w:tabs>
          <w:tab w:pos="7980" w:val="left"/>
        </w:tabs>
        <w:autoSpaceDE w:val="0"/>
        <w:widowControl/>
        <w:spacing w:line="332" w:lineRule="exact" w:before="306" w:after="0"/>
        <w:ind w:left="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3 Application of Green chemistry in Agriculture.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(10Hours)</w:t>
      </w:r>
    </w:p>
    <w:p>
      <w:pPr>
        <w:autoSpaceDN w:val="0"/>
        <w:tabs>
          <w:tab w:pos="780" w:val="left"/>
        </w:tabs>
        <w:autoSpaceDE w:val="0"/>
        <w:widowControl/>
        <w:spacing w:line="324" w:lineRule="exact" w:before="0" w:after="0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Natural product in plant protection: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Development of green chemicals for the Agriculture-Minimum Risk Pesticides</w:t>
      </w:r>
    </w:p>
    <w:p>
      <w:pPr>
        <w:autoSpaceDN w:val="0"/>
        <w:tabs>
          <w:tab w:pos="780" w:val="left"/>
        </w:tabs>
        <w:autoSpaceDE w:val="0"/>
        <w:widowControl/>
        <w:spacing w:line="324" w:lineRule="exact" w:before="0" w:after="0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Eco friendly Pesticides &amp; Insecticides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Renewable Feedstock from Agriculture (Biomass)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0" w:after="0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new Role of Neem Tree in greening the Environment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Vesicular Arbuscular Mycorrhizae in green chemistry.</w:t>
      </w:r>
    </w:p>
    <w:p>
      <w:pPr>
        <w:autoSpaceDN w:val="0"/>
        <w:tabs>
          <w:tab w:pos="7920" w:val="left"/>
        </w:tabs>
        <w:autoSpaceDE w:val="0"/>
        <w:widowControl/>
        <w:spacing w:line="332" w:lineRule="exact" w:before="30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4 Application of Green chemistry in Industry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(12Hours)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Food and flavour Industry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Paper and pulp Industry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Polymer Industry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Textile Industry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Paint Industry: Water Based paints, High solids Paints, low TiO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paint</w:t>
      </w:r>
    </w:p>
    <w:p>
      <w:pPr>
        <w:autoSpaceDN w:val="0"/>
        <w:tabs>
          <w:tab w:pos="780" w:val="left"/>
        </w:tabs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Tannery Industry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Rubber Industry</w:t>
      </w:r>
    </w:p>
    <w:p>
      <w:pPr>
        <w:autoSpaceDN w:val="0"/>
        <w:autoSpaceDE w:val="0"/>
        <w:widowControl/>
        <w:spacing w:line="332" w:lineRule="exact" w:before="30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 5 Application of Green chemistry for achieving sustainable development (06 Hours)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Green chemistry skills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Environmentally Friendly Technologies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Renewable feedstock and raw materials,</w:t>
      </w:r>
    </w:p>
    <w:p>
      <w:pPr>
        <w:autoSpaceDN w:val="0"/>
        <w:tabs>
          <w:tab w:pos="780" w:val="left"/>
        </w:tabs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Oleochemistry, photochemistry, bio catalysis &amp; biotransformation,</w:t>
      </w:r>
    </w:p>
    <w:p>
      <w:pPr>
        <w:autoSpaceDN w:val="0"/>
        <w:autoSpaceDE w:val="0"/>
        <w:widowControl/>
        <w:spacing w:line="342" w:lineRule="exact" w:before="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sequestration of CO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2,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waste biomass as chemical feed stock,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Biodegradation of biomass to biogas &amp; biodiesels</w:t>
      </w:r>
    </w:p>
    <w:p>
      <w:pPr>
        <w:autoSpaceDN w:val="0"/>
        <w:tabs>
          <w:tab w:pos="7980" w:val="left"/>
        </w:tabs>
        <w:autoSpaceDE w:val="0"/>
        <w:widowControl/>
        <w:spacing w:line="332" w:lineRule="exact" w:before="30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6 Application of Green chemistry in analytical chemistry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(04Hours)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Green analytical chemistry</w:t>
      </w:r>
    </w:p>
    <w:p>
      <w:pPr>
        <w:autoSpaceDN w:val="0"/>
        <w:tabs>
          <w:tab w:pos="780" w:val="left"/>
        </w:tabs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Electrophoresis</w:t>
      </w:r>
    </w:p>
    <w:p>
      <w:pPr>
        <w:autoSpaceDN w:val="0"/>
        <w:tabs>
          <w:tab w:pos="794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595959"/>
          <w:sz w:val="24"/>
        </w:rPr>
        <w:t xml:space="preserve">6.3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Micronization in separation Methods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Greener solvent for separation</w:t>
      </w:r>
    </w:p>
    <w:p>
      <w:pPr>
        <w:autoSpaceDN w:val="0"/>
        <w:tabs>
          <w:tab w:pos="7920" w:val="left"/>
        </w:tabs>
        <w:autoSpaceDE w:val="0"/>
        <w:widowControl/>
        <w:spacing w:line="332" w:lineRule="exact" w:before="30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7 Eco friendly technologies for clean world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(06Hours)</w:t>
      </w:r>
    </w:p>
    <w:p>
      <w:pPr>
        <w:autoSpaceDN w:val="0"/>
        <w:tabs>
          <w:tab w:pos="780" w:val="left"/>
        </w:tabs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Waste: production, problems &amp; prevention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Environmentally Benign Technologies using green chemistry</w:t>
      </w:r>
    </w:p>
    <w:p>
      <w:pPr>
        <w:autoSpaceDN w:val="0"/>
        <w:tabs>
          <w:tab w:pos="780" w:val="left"/>
        </w:tabs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Application of non conventional energy sources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Microwave induced &amp; Ultrasound assisted green synthesis</w:t>
      </w:r>
    </w:p>
    <w:p>
      <w:pPr>
        <w:sectPr>
          <w:pgSz w:w="11906" w:h="16838"/>
          <w:pgMar w:top="284" w:right="1344" w:bottom="1044" w:left="1440" w:header="720" w:footer="720" w:gutter="0"/>
          <w:cols w:space="720" w:num="1" w:equalWidth="0">
            <w:col w:w="9122" w:space="0"/>
            <w:col w:w="9928" w:space="0"/>
            <w:col w:w="9046" w:space="0"/>
            <w:col w:w="9046" w:space="0"/>
            <w:col w:w="9824" w:space="0"/>
            <w:col w:w="9044" w:space="0"/>
            <w:col w:w="9090" w:space="0"/>
            <w:col w:w="5628" w:space="0"/>
            <w:col w:w="3462" w:space="0"/>
            <w:col w:w="9090" w:space="0"/>
            <w:col w:w="5746" w:space="0"/>
            <w:col w:w="3344" w:space="0"/>
            <w:col w:w="5758" w:space="0"/>
            <w:col w:w="3567" w:space="0"/>
            <w:col w:w="9326" w:space="0"/>
            <w:col w:w="5570" w:space="0"/>
            <w:col w:w="3755" w:space="0"/>
            <w:col w:w="9326" w:space="0"/>
            <w:col w:w="9056" w:space="0"/>
            <w:col w:w="9044" w:space="0"/>
            <w:col w:w="9164" w:space="0"/>
            <w:col w:w="9044" w:space="0"/>
            <w:col w:w="9044" w:space="0"/>
            <w:col w:w="9362" w:space="0"/>
            <w:col w:w="9046" w:space="0"/>
            <w:col w:w="9044" w:space="0"/>
            <w:col w:w="9362" w:space="0"/>
            <w:col w:w="9044" w:space="0"/>
            <w:col w:w="9044" w:space="0"/>
            <w:col w:w="5144" w:space="0"/>
            <w:col w:w="3900" w:space="0"/>
            <w:col w:w="9604" w:space="0"/>
            <w:col w:w="9316" w:space="0"/>
            <w:col w:w="4979" w:space="0"/>
            <w:col w:w="4336" w:space="0"/>
            <w:col w:w="10026" w:space="0"/>
            <w:col w:w="5894" w:space="0"/>
            <w:col w:w="4131" w:space="0"/>
            <w:col w:w="9048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3020" cy="54737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80" w:val="left"/>
          <w:tab w:pos="7920" w:val="left"/>
        </w:tabs>
        <w:autoSpaceDE w:val="0"/>
        <w:widowControl/>
        <w:spacing w:line="316" w:lineRule="exact" w:before="1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8 Other Applications Of Green Chemistry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(04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Chemicals from glucose: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Polysaccharide Polymers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Application of green chemistry in organic synthesis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Greener nanoscience</w:t>
      </w:r>
    </w:p>
    <w:p>
      <w:pPr>
        <w:autoSpaceDN w:val="0"/>
        <w:tabs>
          <w:tab w:pos="720" w:val="left"/>
        </w:tabs>
        <w:autoSpaceDE w:val="0"/>
        <w:widowControl/>
        <w:spacing w:line="314" w:lineRule="exact" w:before="32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V.K. Ahluwalia &amp; M.R. Kidwai: New Trends in Green Chemistry, 2005, Anamalaya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Publishers.</w:t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P.T. Anastas &amp; J.K. Warner: Oxford Green Chemistry- Theory and Practical, 1988,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University Press.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A.S. Matlack: Introduction to Green Chemistry, 2001, Marcel Dekker.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4" w:after="0"/>
        <w:ind w:left="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M.C. Cann &amp; M.E. Connely: Real-World Cases in Green Chemistry, 2000,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American Chemical Society, Washington.</w:t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6" w:after="0"/>
        <w:ind w:left="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M.A. Ryan &amp; M. Tinnesand, Introduction to Green Chemistry, 2002,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American Chemical Society, Washington.</w:t>
      </w:r>
    </w:p>
    <w:p>
      <w:pPr>
        <w:autoSpaceDN w:val="0"/>
        <w:tabs>
          <w:tab w:pos="3430" w:val="left"/>
        </w:tabs>
        <w:autoSpaceDE w:val="0"/>
        <w:widowControl/>
        <w:spacing w:line="312" w:lineRule="exact" w:before="646" w:after="0"/>
        <w:ind w:left="708" w:right="3168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Laboratory Practical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 Determination of Organic Carbon in soil sample.</w:t>
      </w:r>
    </w:p>
    <w:p>
      <w:pPr>
        <w:autoSpaceDN w:val="0"/>
        <w:autoSpaceDE w:val="0"/>
        <w:widowControl/>
        <w:spacing w:line="324" w:lineRule="exact" w:before="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 Determination of Nitrogen in soil sample.</w:t>
      </w:r>
    </w:p>
    <w:p>
      <w:pPr>
        <w:autoSpaceDN w:val="0"/>
        <w:autoSpaceDE w:val="0"/>
        <w:widowControl/>
        <w:spacing w:line="322" w:lineRule="exact" w:before="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 Determination of Phosphorous in soil sample.</w:t>
      </w:r>
    </w:p>
    <w:p>
      <w:pPr>
        <w:autoSpaceDN w:val="0"/>
        <w:autoSpaceDE w:val="0"/>
        <w:widowControl/>
        <w:spacing w:line="324" w:lineRule="exact" w:before="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 Determination of BOD in industrial wastewater sample.</w:t>
      </w:r>
    </w:p>
    <w:p>
      <w:pPr>
        <w:autoSpaceDN w:val="0"/>
        <w:autoSpaceDE w:val="0"/>
        <w:widowControl/>
        <w:spacing w:line="322" w:lineRule="exact" w:before="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 Determination of NOx in Air sample.</w:t>
      </w:r>
    </w:p>
    <w:p>
      <w:pPr>
        <w:autoSpaceDN w:val="0"/>
        <w:autoSpaceDE w:val="0"/>
        <w:widowControl/>
        <w:spacing w:line="322" w:lineRule="exact" w:before="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 Determination of SOx in Air sample.</w:t>
      </w:r>
    </w:p>
    <w:p>
      <w:pPr>
        <w:autoSpaceDN w:val="0"/>
        <w:autoSpaceDE w:val="0"/>
        <w:widowControl/>
        <w:spacing w:line="308" w:lineRule="exact" w:before="28" w:after="0"/>
        <w:ind w:left="708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 Nitration of Salysilic Acid using Ca(NO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)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Acetic Acid.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 Bromination of Acetanilide using KBrO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(NH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)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Ce(NO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)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9. Preparation of Schiff Base by Microwave Technique.</w:t>
      </w:r>
    </w:p>
    <w:p>
      <w:pPr>
        <w:autoSpaceDN w:val="0"/>
        <w:autoSpaceDE w:val="0"/>
        <w:widowControl/>
        <w:spacing w:line="322" w:lineRule="exact" w:before="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10. Determination of Blood Sugar by Folin-Wu method.</w:t>
      </w:r>
    </w:p>
    <w:p>
      <w:pPr>
        <w:autoSpaceDN w:val="0"/>
        <w:autoSpaceDE w:val="0"/>
        <w:widowControl/>
        <w:spacing w:line="324" w:lineRule="exact" w:before="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11. Determination of Blood Urea by DAM method.</w:t>
      </w:r>
    </w:p>
    <w:p>
      <w:pPr>
        <w:autoSpaceDN w:val="0"/>
        <w:autoSpaceDE w:val="0"/>
        <w:widowControl/>
        <w:spacing w:line="322" w:lineRule="exact" w:before="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12. Determination of % Purity of Brass Alloy (Copper and Zinc).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16" w:lineRule="exact" w:before="324" w:after="0"/>
        <w:ind w:left="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Standard Methods for Examination of Water &amp; Wastewater, Andrew D. Eaton,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Lenore S. Clesceri, Eugene W. Rice, Arnold Greenberg, 23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 2017,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published by APHA,</w:t>
      </w:r>
      <w:r>
        <w:rPr>
          <w:rFonts w:ascii="TimesNewRomanPSMT" w:hAnsi="TimesNewRomanPSMT" w:eastAsia="TimesNewRomanPSMT"/>
          <w:b w:val="0"/>
          <w:i w:val="0"/>
          <w:color w:val="231F20"/>
          <w:sz w:val="24"/>
        </w:rPr>
        <w:t xml:space="preserve"> AWWA, WEF.</w:t>
      </w:r>
    </w:p>
    <w:p>
      <w:pPr>
        <w:autoSpaceDN w:val="0"/>
        <w:autoSpaceDE w:val="0"/>
        <w:widowControl/>
        <w:spacing w:line="318" w:lineRule="exact" w:before="6" w:after="0"/>
        <w:ind w:left="720" w:right="576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Official Methods of Analysis, Dr. William Harwitz, Dr. George W Latimer,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 2005, published by Association of Officiating Analytical Chemists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(AOAC).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Analytical Techniques in Agriculture, Biotechnology and Environmental Engineering,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A. Nag, 1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Edition, 2006, Prentice Hall of India Pvt. Ltd.</w:t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320" w:after="0"/>
        <w:ind w:left="36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 Laboratory Manual on Engineering Chemistry, S.K. Bhasin and Sudha Rani, 3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Edition, Reprint 2011, Dhanpat Rai Publishing Company (P) Ltd.</w:t>
      </w:r>
    </w:p>
    <w:sectPr w:rsidR="00FC693F" w:rsidRPr="0006063C" w:rsidSect="00034616">
      <w:pgSz w:w="11906" w:h="16838"/>
      <w:pgMar w:top="282" w:right="1420" w:bottom="728" w:left="1440" w:header="720" w:footer="720" w:gutter="0"/>
      <w:cols w:space="720" w:num="1" w:equalWidth="0">
        <w:col w:w="9046" w:space="0"/>
        <w:col w:w="9122" w:space="0"/>
        <w:col w:w="9928" w:space="0"/>
        <w:col w:w="9046" w:space="0"/>
        <w:col w:w="9046" w:space="0"/>
        <w:col w:w="9824" w:space="0"/>
        <w:col w:w="9044" w:space="0"/>
        <w:col w:w="9090" w:space="0"/>
        <w:col w:w="5628" w:space="0"/>
        <w:col w:w="3462" w:space="0"/>
        <w:col w:w="9090" w:space="0"/>
        <w:col w:w="5746" w:space="0"/>
        <w:col w:w="3344" w:space="0"/>
        <w:col w:w="5758" w:space="0"/>
        <w:col w:w="3567" w:space="0"/>
        <w:col w:w="9326" w:space="0"/>
        <w:col w:w="5570" w:space="0"/>
        <w:col w:w="3755" w:space="0"/>
        <w:col w:w="9326" w:space="0"/>
        <w:col w:w="9056" w:space="0"/>
        <w:col w:w="9044" w:space="0"/>
        <w:col w:w="9164" w:space="0"/>
        <w:col w:w="9044" w:space="0"/>
        <w:col w:w="9044" w:space="0"/>
        <w:col w:w="9362" w:space="0"/>
        <w:col w:w="9046" w:space="0"/>
        <w:col w:w="9044" w:space="0"/>
        <w:col w:w="9362" w:space="0"/>
        <w:col w:w="9044" w:space="0"/>
        <w:col w:w="9044" w:space="0"/>
        <w:col w:w="5144" w:space="0"/>
        <w:col w:w="3900" w:space="0"/>
        <w:col w:w="9604" w:space="0"/>
        <w:col w:w="9316" w:space="0"/>
        <w:col w:w="4979" w:space="0"/>
        <w:col w:w="4336" w:space="0"/>
        <w:col w:w="10026" w:space="0"/>
        <w:col w:w="5894" w:space="0"/>
        <w:col w:w="4131" w:space="0"/>
        <w:col w:w="9048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info@srki.ac.in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