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69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2112010</wp:posOffset>
            </wp:positionH>
            <wp:positionV relativeFrom="page">
              <wp:posOffset>914400</wp:posOffset>
            </wp:positionV>
            <wp:extent cx="3336290" cy="2116161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211616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702379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7023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688" w:lineRule="exact" w:before="32" w:after="0"/>
        <w:ind w:left="288" w:right="288" w:firstLine="0"/>
        <w:jc w:val="center"/>
      </w:pPr>
      <w:r>
        <w:rPr>
          <w:rFonts w:ascii="TimesNewRomanPS" w:hAnsi="TimesNewRomanPS" w:eastAsia="TimesNewRomanPS"/>
          <w:b/>
          <w:i w:val="0"/>
          <w:color w:val="FF9900"/>
          <w:sz w:val="52"/>
        </w:rPr>
        <w:t xml:space="preserve">Faculty of Science </w:t>
      </w:r>
      <w:r>
        <w:br/>
      </w:r>
      <w:r>
        <w:rPr>
          <w:rFonts w:ascii="TimesNewRomanPS" w:hAnsi="TimesNewRomanPS" w:eastAsia="TimesNewRomanPS"/>
          <w:b/>
          <w:i w:val="0"/>
          <w:color w:val="212529"/>
          <w:sz w:val="36"/>
        </w:rPr>
        <w:t xml:space="preserve">SHREE RAMKRISHNA INSTITUTE OF COMPUTER </w:t>
      </w:r>
      <w:r>
        <w:rPr>
          <w:rFonts w:ascii="TimesNewRomanPS" w:hAnsi="TimesNewRomanPS" w:eastAsia="TimesNewRomanPS"/>
          <w:b/>
          <w:i w:val="0"/>
          <w:color w:val="212529"/>
          <w:sz w:val="36"/>
        </w:rPr>
        <w:t>EDUCATION AND APPLIED SCIENCES, SURAT</w:t>
      </w:r>
    </w:p>
    <w:p>
      <w:pPr>
        <w:autoSpaceDN w:val="0"/>
        <w:autoSpaceDE w:val="0"/>
        <w:widowControl/>
        <w:spacing w:line="720" w:lineRule="exact" w:before="69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33CC"/>
          <w:sz w:val="52"/>
        </w:rPr>
        <w:t>M.Sc. Microbiology</w:t>
      </w:r>
    </w:p>
    <w:p>
      <w:pPr>
        <w:autoSpaceDN w:val="0"/>
        <w:autoSpaceDE w:val="0"/>
        <w:widowControl/>
        <w:spacing w:line="702" w:lineRule="exact" w:before="88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52"/>
        </w:rPr>
        <w:t>Syllabus</w:t>
      </w:r>
    </w:p>
    <w:p>
      <w:pPr>
        <w:autoSpaceDN w:val="0"/>
        <w:autoSpaceDE w:val="0"/>
        <w:widowControl/>
        <w:spacing w:line="702" w:lineRule="exact" w:before="89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52"/>
        </w:rPr>
        <w:t>(Effective from 2021)</w:t>
      </w:r>
    </w:p>
    <w:p>
      <w:pPr>
        <w:autoSpaceDN w:val="0"/>
        <w:autoSpaceDE w:val="0"/>
        <w:widowControl/>
        <w:spacing w:line="368" w:lineRule="exact" w:before="1774" w:after="0"/>
        <w:ind w:left="144" w:right="14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M.T.B College Campus, B/h P.T.Science College, Opp. Chowpati, 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>Athwalines, Surat-395001 Gujara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hyperlink r:id="rId9" w:history="1">
          <w:r>
            <w:rPr>
              <w:rStyle w:val="Hyperlink"/>
            </w:rPr>
            <w:t xml:space="preserve">t, India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>Contact: 7228018498, 728018499. Email:</w:t>
      </w:r>
      <w:r>
        <w:rPr>
          <w:rFonts w:ascii="TimesNewRomanPSMT" w:hAnsi="TimesNewRomanPSMT" w:eastAsia="TimesNewRomanPSMT"/>
          <w:b w:val="0"/>
          <w:i w:val="0"/>
          <w:color w:val="0000FF"/>
          <w:sz w:val="32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FF"/>
          <w:sz w:val="32"/>
        </w:rPr>
        <w:hyperlink r:id="rId9" w:history="1">
          <w:r>
            <w:rPr>
              <w:rStyle w:val="Hyperlink"/>
            </w:rPr>
            <w:t>info@srki.ac.in</w:t>
          </w:r>
        </w:hyperlink>
      </w:r>
    </w:p>
    <w:p>
      <w:pPr>
        <w:sectPr>
          <w:pgSz w:w="11906" w:h="16838"/>
          <w:pgMar w:top="1440" w:right="1440" w:bottom="958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26"/>
        <w:ind w:left="0" w:right="2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24"/>
        <w:gridCol w:w="4524"/>
      </w:tblGrid>
      <w:tr>
        <w:trPr>
          <w:trHeight w:hRule="exact" w:val="286"/>
        </w:trPr>
        <w:tc>
          <w:tcPr>
            <w:tcW w:type="dxa" w:w="634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M.Sc. Microbiology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No.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Contents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About M.Sc. Microbiology Programme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Programme Objective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Eligibility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Structure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Evaluation Scheme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F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Syllabus</w:t>
            </w:r>
          </w:p>
        </w:tc>
      </w:tr>
    </w:tbl>
    <w:p>
      <w:pPr>
        <w:autoSpaceDN w:val="0"/>
        <w:autoSpaceDE w:val="0"/>
        <w:widowControl/>
        <w:spacing w:line="388" w:lineRule="exact" w:before="414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A.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About M.Sc. Microbiology Programme</w:t>
      </w:r>
    </w:p>
    <w:p>
      <w:pPr>
        <w:autoSpaceDN w:val="0"/>
        <w:autoSpaceDE w:val="0"/>
        <w:widowControl/>
        <w:spacing w:line="276" w:lineRule="exact" w:before="258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M.Sc. Microbiology programme offered by Sarvajanik University is of two years’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duration and is divided into four semesters. The various courses of the programme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designed to include classroom teaching and lectures, laboratory work, project work, viva,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seminars, assignments and field trips. Three categories of courses are being offered in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programme: Core courses, Skill enhancement courses and Elective course. A separate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research-based course that leads to a dissertation is also one of the Core Courses offer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final semester.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 The student presents his/ her research orally at the end of the semester, and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>this is coupled to a</w:t>
      </w:r>
      <w:r>
        <w:rPr>
          <w:rFonts w:ascii="TimesNewRomanPS" w:hAnsi="TimesNewRomanPS" w:eastAsia="TimesNewRomanPS"/>
          <w:b w:val="0"/>
          <w:i/>
          <w:color w:val="3A3A36"/>
          <w:sz w:val="24"/>
        </w:rPr>
        <w:t xml:space="preserve"> viva-voce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. This not only equips the student for a career in research/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industry, but also fosters self-confidence and self-reliance in the student as he/she learns to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>work and think independently.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Thirty percent of the total marks for each course will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awarded through Internal Assessment.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 Particular emphasis is laid on the practical aspects of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the field. Students are taught how to plan experiments, perform them carefully, analyze the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>data accurately, and present the results both, qualitatively and quantitatively.</w:t>
      </w:r>
    </w:p>
    <w:p>
      <w:pPr>
        <w:autoSpaceDN w:val="0"/>
        <w:autoSpaceDE w:val="0"/>
        <w:widowControl/>
        <w:spacing w:line="388" w:lineRule="exact" w:before="218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B.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Programme Objective</w:t>
      </w:r>
    </w:p>
    <w:p>
      <w:pPr>
        <w:autoSpaceDN w:val="0"/>
        <w:autoSpaceDE w:val="0"/>
        <w:widowControl/>
        <w:spacing w:line="276" w:lineRule="exact" w:before="262" w:after="0"/>
        <w:ind w:left="720" w:right="20" w:hanging="360"/>
        <w:jc w:val="both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Through the stimulus of scholarly progression and intellectual development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programme aims to equip students with excellence in education and skills, thus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enabling the student to pursue a career of his/her choice.</w:t>
      </w:r>
    </w:p>
    <w:p>
      <w:pPr>
        <w:autoSpaceDN w:val="0"/>
        <w:autoSpaceDE w:val="0"/>
        <w:widowControl/>
        <w:spacing w:line="276" w:lineRule="exact" w:before="48" w:after="0"/>
        <w:ind w:left="720" w:right="24" w:hanging="360"/>
        <w:jc w:val="both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cultivating talents and promoting all round personality development through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multi-dimensional education a spirit of self-confidence and self-reliance will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infused in the student.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4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student will be instilled with values of professional ethics and be made ready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contribute to society as responsible individuals.</w:t>
      </w:r>
    </w:p>
    <w:p>
      <w:pPr>
        <w:autoSpaceDN w:val="0"/>
        <w:autoSpaceDE w:val="0"/>
        <w:widowControl/>
        <w:spacing w:line="388" w:lineRule="exact" w:before="220" w:after="168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Eligibility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24"/>
        <w:gridCol w:w="4524"/>
      </w:tblGrid>
      <w:tr>
        <w:trPr>
          <w:trHeight w:hRule="exact" w:val="2312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</w:p>
          <w:p>
            <w:pPr>
              <w:autoSpaceDN w:val="0"/>
              <w:autoSpaceDE w:val="0"/>
              <w:widowControl/>
              <w:spacing w:line="294" w:lineRule="exact" w:before="110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8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 candidate must have passed Bachelor’s degree in Microbiology / Medical</w:t>
            </w:r>
          </w:p>
          <w:p>
            <w:pPr>
              <w:autoSpaceDN w:val="0"/>
              <w:tabs>
                <w:tab w:pos="4542" w:val="left"/>
                <w:tab w:pos="5572" w:val="left"/>
                <w:tab w:pos="5922" w:val="left"/>
                <w:tab w:pos="7124" w:val="left"/>
              </w:tabs>
              <w:autoSpaceDE w:val="0"/>
              <w:widowControl/>
              <w:spacing w:line="322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Technology/Biotechnology/Environmental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Science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/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Industrial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Microbiology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/Bioscience / General Science/ Life-Science / Botany/Plant Science/Zoology/Animal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Science/ Biology /Agriculture/Fisheries/Forestry /others.</w:t>
            </w:r>
          </w:p>
          <w:p>
            <w:pPr>
              <w:autoSpaceDN w:val="0"/>
              <w:autoSpaceDE w:val="0"/>
              <w:widowControl/>
              <w:spacing w:line="324" w:lineRule="exact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candidate who has passed equivalent exam from other subjects or boards need to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avail eligibility certificate for this programme from the Board of Equivalence (BoE)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 the Sarvajanik University.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18" w:bottom="1130" w:left="1440" w:header="720" w:footer="720" w:gutter="0"/>
          <w:cols w:space="720" w:num="1" w:equalWidth="0"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2"/>
        <w:ind w:left="0" w:right="0"/>
      </w:pPr>
    </w:p>
    <w:p>
      <w:pPr>
        <w:sectPr>
          <w:pgSz w:w="11906" w:h="16838"/>
          <w:pgMar w:top="282" w:right="558" w:bottom="1440" w:left="1322" w:header="720" w:footer="720" w:gutter="0"/>
          <w:cols w:space="720" w:num="1" w:equalWidth="0"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88" w:lineRule="exact" w:before="0" w:after="0"/>
        <w:ind w:left="47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D.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M.Sc. Microbiology Course Structure</w:t>
      </w:r>
    </w:p>
    <w:p>
      <w:pPr>
        <w:sectPr>
          <w:type w:val="continuous"/>
          <w:pgSz w:w="11906" w:h="16838"/>
          <w:pgMar w:top="282" w:right="558" w:bottom="1440" w:left="1322" w:header="720" w:footer="720" w:gutter="0"/>
          <w:cols w:space="720" w:num="2" w:equalWidth="0"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88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744"/>
        <w:sectPr>
          <w:type w:val="nextColumn"/>
          <w:pgSz w:w="11906" w:h="16838"/>
          <w:pgMar w:top="282" w:right="558" w:bottom="1440" w:left="1322" w:header="720" w:footer="720" w:gutter="0"/>
          <w:cols w:space="720" w:num="2" w:equalWidth="0"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432"/>
        <w:gridCol w:w="1432"/>
        <w:gridCol w:w="1432"/>
        <w:gridCol w:w="1432"/>
        <w:gridCol w:w="1432"/>
        <w:gridCol w:w="1432"/>
        <w:gridCol w:w="1432"/>
      </w:tblGrid>
      <w:tr>
        <w:trPr>
          <w:trHeight w:hRule="exact" w:val="418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8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</w:t>
            </w:r>
          </w:p>
        </w:tc>
        <w:tc>
          <w:tcPr>
            <w:tcW w:type="dxa" w:w="108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8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Code</w:t>
            </w:r>
          </w:p>
        </w:tc>
        <w:tc>
          <w:tcPr>
            <w:tcW w:type="dxa" w:w="4820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Pap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Ti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</w:p>
        </w:tc>
        <w:tc>
          <w:tcPr>
            <w:tcW w:type="dxa" w:w="142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H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o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rs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/Week</w:t>
            </w:r>
          </w:p>
        </w:tc>
        <w:tc>
          <w:tcPr>
            <w:tcW w:type="dxa" w:w="850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Credi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</w:t>
            </w:r>
          </w:p>
        </w:tc>
      </w:tr>
      <w:tr>
        <w:trPr>
          <w:trHeight w:hRule="exact" w:val="294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h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Pr</w:t>
            </w:r>
          </w:p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</w:tr>
      <w:tr>
        <w:trPr>
          <w:trHeight w:hRule="exact" w:val="562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DSC-1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Principles of Microbio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ogy &amp;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robi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Diversity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286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DSC-2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Agriculture &amp; Environmental Microbiology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286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SEC-1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Molecular biology &amp; Genetic Engineering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286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DSE-1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64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DSC-3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Microbial Physiology &amp;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sm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286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DSC-4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Immunology and molecular pathogenesis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286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SEC-2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Instrumentation and analytical techniques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286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DSE-2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36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2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DSC-5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Economic Microbiolo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gy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34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DSC-6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Enzyme Technology &amp; Protein Engineering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562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SEC-3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2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Pharmaceutical Microbiology &amp; Drug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Development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18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DSE-3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286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DSC-7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Dissertation</w:t>
            </w:r>
          </w:p>
        </w:tc>
        <w:tc>
          <w:tcPr>
            <w:tcW w:type="dxa" w:w="1420"/>
            <w:gridSpan w:val="2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2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32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16</w:t>
            </w:r>
          </w:p>
        </w:tc>
      </w:tr>
      <w:tr>
        <w:trPr>
          <w:trHeight w:hRule="exact" w:val="298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DSC-8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Seminar Presentation</w:t>
            </w:r>
          </w:p>
        </w:tc>
        <w:tc>
          <w:tcPr>
            <w:tcW w:type="dxa" w:w="2864"/>
            <w:gridSpan w:val="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86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DSC-9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Review of published 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 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r/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</w:p>
        </w:tc>
        <w:tc>
          <w:tcPr>
            <w:tcW w:type="dxa" w:w="2864"/>
            <w:gridSpan w:val="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86"/>
        </w:trPr>
        <w:tc>
          <w:tcPr>
            <w:tcW w:type="dxa" w:w="9138"/>
            <w:gridSpan w:val="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1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dit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96</w:t>
            </w:r>
          </w:p>
        </w:tc>
      </w:tr>
      <w:tr>
        <w:trPr>
          <w:trHeight w:hRule="exact" w:val="240"/>
        </w:trPr>
        <w:tc>
          <w:tcPr>
            <w:tcW w:type="dxa" w:w="9988"/>
            <w:gridSpan w:val="7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Note: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DSC – Discipline Specific Core, DSE - – Discipline Spec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ic 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le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tive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 - 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nha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ment 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our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</w:t>
            </w:r>
          </w:p>
        </w:tc>
      </w:tr>
    </w:tbl>
    <w:p>
      <w:pPr>
        <w:autoSpaceDN w:val="0"/>
        <w:autoSpaceDE w:val="0"/>
        <w:widowControl/>
        <w:spacing w:line="4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8.0" w:type="dxa"/>
      </w:tblPr>
      <w:tblGrid>
        <w:gridCol w:w="5013"/>
        <w:gridCol w:w="5013"/>
      </w:tblGrid>
      <w:tr>
        <w:trPr>
          <w:trHeight w:hRule="exact" w:val="286"/>
        </w:trPr>
        <w:tc>
          <w:tcPr>
            <w:tcW w:type="dxa" w:w="12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510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DSE (Any one to be opt)</w:t>
            </w:r>
          </w:p>
        </w:tc>
      </w:tr>
      <w:tr>
        <w:trPr>
          <w:trHeight w:hRule="exact" w:val="1114"/>
        </w:trPr>
        <w:tc>
          <w:tcPr>
            <w:tcW w:type="dxa" w:w="12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510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3.99999999999977" w:type="dxa"/>
            </w:tblPr>
            <w:tblGrid>
              <w:gridCol w:w="2551"/>
              <w:gridCol w:w="2551"/>
            </w:tblGrid>
            <w:tr>
              <w:trPr>
                <w:trHeight w:hRule="exact" w:val="1112"/>
              </w:trPr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50" w:after="0"/>
                    <w:ind w:left="68" w:right="252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3.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4.</w:t>
                  </w:r>
                </w:p>
              </w:tc>
              <w:tc>
                <w:tcPr>
                  <w:tcW w:type="dxa" w:w="4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50" w:after="0"/>
                    <w:ind w:left="290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Food Chemistry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Energy and Environment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Laboratory safety and management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Bioethics &amp; Biosafety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114"/>
        </w:trPr>
        <w:tc>
          <w:tcPr>
            <w:tcW w:type="dxa" w:w="12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510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3.99999999999977" w:type="dxa"/>
            </w:tblPr>
            <w:tblGrid>
              <w:gridCol w:w="2551"/>
              <w:gridCol w:w="2551"/>
            </w:tblGrid>
            <w:tr>
              <w:trPr>
                <w:trHeight w:hRule="exact" w:val="1110"/>
              </w:trPr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6" w:after="0"/>
                    <w:ind w:left="68" w:right="252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3.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4.</w:t>
                  </w:r>
                </w:p>
              </w:tc>
              <w:tc>
                <w:tcPr>
                  <w:tcW w:type="dxa" w:w="4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6" w:after="0"/>
                    <w:ind w:left="290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Forensic Chemistry &amp; Toxicology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Bioinformatics &amp; Other “OMICS”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IPR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Biostatistics.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094"/>
        </w:trPr>
        <w:tc>
          <w:tcPr>
            <w:tcW w:type="dxa" w:w="12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510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3.99999999999977" w:type="dxa"/>
            </w:tblPr>
            <w:tblGrid>
              <w:gridCol w:w="2551"/>
              <w:gridCol w:w="2551"/>
            </w:tblGrid>
            <w:tr>
              <w:trPr>
                <w:trHeight w:hRule="exact" w:val="1112"/>
              </w:trPr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6" w:after="0"/>
                    <w:ind w:left="68" w:right="252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3.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4.</w:t>
                  </w:r>
                </w:p>
              </w:tc>
              <w:tc>
                <w:tcPr>
                  <w:tcW w:type="dxa" w:w="4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6" w:after="0"/>
                    <w:ind w:left="290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Forensic biology and DNA typing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Research Methodology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Bioentrepreneurship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Application of Green Chemistry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282" w:right="558" w:bottom="1440" w:left="1322" w:header="720" w:footer="720" w:gutter="0"/>
          <w:cols w:space="720" w:num="1" w:equalWidth="0"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2"/>
        <w:ind w:left="0" w:right="0"/>
      </w:pPr>
    </w:p>
    <w:p>
      <w:pPr>
        <w:sectPr>
          <w:pgSz w:w="11906" w:h="16838"/>
          <w:pgMar w:top="282" w:right="1302" w:bottom="1440" w:left="1288" w:header="720" w:footer="720" w:gutter="0"/>
          <w:cols w:space="720" w:num="1" w:equalWidth="0"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88" w:lineRule="exact" w:before="0" w:after="0"/>
        <w:ind w:left="5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E.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Evaluation Scheme</w:t>
      </w:r>
    </w:p>
    <w:p>
      <w:pPr>
        <w:sectPr>
          <w:type w:val="continuous"/>
          <w:pgSz w:w="11906" w:h="16838"/>
          <w:pgMar w:top="282" w:right="1302" w:bottom="1440" w:left="1288" w:header="720" w:footer="720" w:gutter="0"/>
          <w:cols w:space="720" w:num="2" w:equalWidth="0"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14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46"/>
        <w:sectPr>
          <w:type w:val="nextColumn"/>
          <w:pgSz w:w="11906" w:h="16838"/>
          <w:pgMar w:top="282" w:right="1302" w:bottom="1440" w:left="1288" w:header="720" w:footer="720" w:gutter="0"/>
          <w:cols w:space="720" w:num="2" w:equalWidth="0"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553"/>
        <w:gridCol w:w="1553"/>
        <w:gridCol w:w="1553"/>
        <w:gridCol w:w="1553"/>
        <w:gridCol w:w="1553"/>
        <w:gridCol w:w="1553"/>
      </w:tblGrid>
      <w:tr>
        <w:trPr>
          <w:trHeight w:hRule="exact" w:val="286"/>
        </w:trPr>
        <w:tc>
          <w:tcPr>
            <w:tcW w:type="dxa" w:w="9276"/>
            <w:gridSpan w:val="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M.Sc. Microbiology</w:t>
            </w:r>
          </w:p>
        </w:tc>
      </w:tr>
      <w:tr>
        <w:trPr>
          <w:trHeight w:hRule="exact" w:val="1390"/>
        </w:trPr>
        <w:tc>
          <w:tcPr>
            <w:tcW w:type="dxa" w:w="14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Evaluation</w:t>
            </w:r>
          </w:p>
        </w:tc>
        <w:tc>
          <w:tcPr>
            <w:tcW w:type="dxa" w:w="26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Criteria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Theory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Practical</w:t>
            </w:r>
          </w:p>
        </w:tc>
        <w:tc>
          <w:tcPr>
            <w:tcW w:type="dxa" w:w="15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Dissertation</w:t>
            </w:r>
          </w:p>
        </w:tc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Seminar/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Review of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published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research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paper</w:t>
            </w:r>
          </w:p>
        </w:tc>
      </w:tr>
      <w:tr>
        <w:trPr>
          <w:trHeight w:hRule="exact" w:val="838"/>
        </w:trPr>
        <w:tc>
          <w:tcPr>
            <w:tcW w:type="dxa" w:w="141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Internal</w:t>
            </w:r>
          </w:p>
        </w:tc>
        <w:tc>
          <w:tcPr>
            <w:tcW w:type="dxa" w:w="26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Continuous &amp;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Comprehensive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(CCE)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15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140</w:t>
            </w:r>
          </w:p>
        </w:tc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284"/>
        </w:trPr>
        <w:tc>
          <w:tcPr>
            <w:tcW w:type="dxa" w:w="155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Attendance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15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</w:tr>
      <w:tr>
        <w:trPr>
          <w:trHeight w:hRule="exact" w:val="286"/>
        </w:trPr>
        <w:tc>
          <w:tcPr>
            <w:tcW w:type="dxa" w:w="155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Assignment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  <w:tc>
          <w:tcPr>
            <w:tcW w:type="dxa" w:w="15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</w:tr>
      <w:tr>
        <w:trPr>
          <w:trHeight w:hRule="exact" w:val="562"/>
        </w:trPr>
        <w:tc>
          <w:tcPr>
            <w:tcW w:type="dxa" w:w="155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Internal Practical Test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Viva – Voce /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5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</w:tr>
      <w:tr>
        <w:trPr>
          <w:trHeight w:hRule="exact" w:val="286"/>
        </w:trPr>
        <w:tc>
          <w:tcPr>
            <w:tcW w:type="dxa" w:w="14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Internal assessment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  <w:tc>
          <w:tcPr>
            <w:tcW w:type="dxa" w:w="15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50</w:t>
            </w:r>
          </w:p>
        </w:tc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</w:tr>
      <w:tr>
        <w:trPr>
          <w:trHeight w:hRule="exact" w:val="286"/>
        </w:trPr>
        <w:tc>
          <w:tcPr>
            <w:tcW w:type="dxa" w:w="14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External</w:t>
            </w:r>
          </w:p>
        </w:tc>
        <w:tc>
          <w:tcPr>
            <w:tcW w:type="dxa" w:w="26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External Evaluation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15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50</w:t>
            </w:r>
          </w:p>
        </w:tc>
      </w:tr>
      <w:tr>
        <w:trPr>
          <w:trHeight w:hRule="exact" w:val="266"/>
        </w:trPr>
        <w:tc>
          <w:tcPr>
            <w:tcW w:type="dxa" w:w="411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1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Total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200</w:t>
            </w:r>
          </w:p>
        </w:tc>
        <w:tc>
          <w:tcPr>
            <w:tcW w:type="dxa" w:w="15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300</w:t>
            </w:r>
          </w:p>
        </w:tc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282" w:right="1302" w:bottom="1440" w:left="1288" w:header="720" w:footer="720" w:gutter="0"/>
          <w:cols w:space="720" w:num="1" w:equalWidth="0"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8.0000000000001" w:type="dxa"/>
      </w:tblPr>
      <w:tblGrid>
        <w:gridCol w:w="3121"/>
        <w:gridCol w:w="3121"/>
        <w:gridCol w:w="3121"/>
      </w:tblGrid>
      <w:tr>
        <w:trPr>
          <w:trHeight w:hRule="exact" w:val="1790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838" w:after="0"/>
              <w:ind w:left="2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>F.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Syllabus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4" w:lineRule="exact" w:before="1176" w:after="0"/>
              <w:ind w:left="0" w:right="76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40"/>
              </w:rPr>
              <w:t>Semester 4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3020" cy="54737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547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32" w:lineRule="exact" w:before="138" w:after="216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Dissertation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121"/>
        <w:gridCol w:w="3121"/>
        <w:gridCol w:w="3121"/>
      </w:tblGrid>
      <w:tr>
        <w:trPr>
          <w:trHeight w:hRule="exact" w:val="466"/>
        </w:trPr>
        <w:tc>
          <w:tcPr>
            <w:tcW w:type="dxa" w:w="60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Science</w:t>
            </w:r>
          </w:p>
        </w:tc>
        <w:tc>
          <w:tcPr>
            <w:tcW w:type="dxa" w:w="32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tme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robi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ogy</w:t>
            </w:r>
          </w:p>
        </w:tc>
      </w:tr>
      <w:tr>
        <w:trPr>
          <w:trHeight w:hRule="exact" w:val="466"/>
        </w:trPr>
        <w:tc>
          <w:tcPr>
            <w:tcW w:type="dxa" w:w="60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M.Sc. Microbiology Sem-IV</w:t>
            </w:r>
          </w:p>
        </w:tc>
        <w:tc>
          <w:tcPr>
            <w:tcW w:type="dxa" w:w="32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SC-7</w:t>
            </w:r>
          </w:p>
        </w:tc>
      </w:tr>
      <w:tr>
        <w:trPr>
          <w:trHeight w:hRule="exact" w:val="466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Dissertation</w:t>
            </w:r>
          </w:p>
        </w:tc>
      </w:tr>
      <w:tr>
        <w:trPr>
          <w:trHeight w:hRule="exact" w:val="466"/>
        </w:trPr>
        <w:tc>
          <w:tcPr>
            <w:tcW w:type="dxa" w:w="614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 16</w:t>
            </w:r>
          </w:p>
        </w:tc>
        <w:tc>
          <w:tcPr>
            <w:tcW w:type="dxa" w:w="31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rni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 hours:</w:t>
            </w:r>
          </w:p>
        </w:tc>
      </w:tr>
      <w:tr>
        <w:trPr>
          <w:trHeight w:hRule="exact" w:val="1982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description:</w:t>
            </w:r>
          </w:p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10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aim of the dissertation is to develop inclination towards research.The dissertation presents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 major piece of guided independent research on a topic agreed between the student and their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supervisor. It typically involves a literature review and an appropriate form of critical analysis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sources of primary and /or secondary data; it may involve field and/or laboratory work.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dissertation must show evidence of wide reading and understanding, of critical analysis and/or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appropriate use of advanced research techniques.</w:t>
            </w:r>
          </w:p>
        </w:tc>
      </w:tr>
      <w:tr>
        <w:trPr>
          <w:trHeight w:hRule="exact" w:val="3450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4" w:val="left"/>
                <w:tab w:pos="824" w:val="left"/>
              </w:tabs>
              <w:autoSpaceDE w:val="0"/>
              <w:widowControl/>
              <w:spacing w:line="288" w:lineRule="exact" w:before="44" w:after="0"/>
              <w:ind w:left="104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4"/>
              </w:rPr>
              <w:t>Upon successful completion, students will have the knowledge and skills to:</w:t>
            </w:r>
            <w:r>
              <w:br/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222222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4"/>
              </w:rPr>
              <w:t>Plan and engage in an independent and sustained critical investigation</w:t>
            </w:r>
            <w:r>
              <w:br/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222222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4"/>
              </w:rPr>
              <w:t xml:space="preserve">Systematically identify relevant theory and concepts, relate these to appropriate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4"/>
              </w:rPr>
              <w:t xml:space="preserve">methodologies and evidence, apply appropriate techniques and draw appropriate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4"/>
              </w:rPr>
              <w:t>conclusions</w:t>
            </w:r>
            <w:r>
              <w:br/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222222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4"/>
              </w:rPr>
              <w:t xml:space="preserve">Appropriately apply qualitative and/or quantitative evaluation processes to original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4"/>
              </w:rPr>
              <w:t>data</w:t>
            </w:r>
            <w:r>
              <w:br/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222222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4"/>
              </w:rPr>
              <w:t xml:space="preserve">Understand and apply ethical standards of conduct in the collection and evaluation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4"/>
              </w:rPr>
              <w:t>data and other resources</w:t>
            </w:r>
            <w:r>
              <w:br/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222222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4"/>
              </w:rPr>
              <w:t xml:space="preserve">Communicate research concepts and contexts clearly and effectively both in writing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4"/>
              </w:rPr>
              <w:t>and orally.</w:t>
            </w:r>
          </w:p>
        </w:tc>
      </w:tr>
    </w:tbl>
    <w:p>
      <w:pPr>
        <w:autoSpaceDN w:val="0"/>
        <w:autoSpaceDE w:val="0"/>
        <w:widowControl/>
        <w:spacing w:line="332" w:lineRule="exact" w:before="0" w:after="0"/>
        <w:ind w:left="15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Guidelines for Dissertation</w:t>
      </w:r>
    </w:p>
    <w:p>
      <w:pPr>
        <w:autoSpaceDN w:val="0"/>
        <w:tabs>
          <w:tab w:pos="878" w:val="left"/>
        </w:tabs>
        <w:autoSpaceDE w:val="0"/>
        <w:widowControl/>
        <w:spacing w:line="276" w:lineRule="exact" w:before="236" w:after="0"/>
        <w:ind w:left="518" w:right="72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Dissertation work can be done individually or in a group on a relevance topic.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Dissertation may be carried in-house or outside the campus after due permission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granted by the supervising teacher and institute head at the following recognized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institutions or industries like:</w:t>
      </w:r>
    </w:p>
    <w:p>
      <w:pPr>
        <w:autoSpaceDN w:val="0"/>
        <w:tabs>
          <w:tab w:pos="1598" w:val="left"/>
        </w:tabs>
        <w:autoSpaceDE w:val="0"/>
        <w:widowControl/>
        <w:spacing w:line="294" w:lineRule="exact" w:before="0" w:after="0"/>
        <w:ind w:left="1238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Any UGC recognized University PG departments.</w:t>
      </w:r>
    </w:p>
    <w:p>
      <w:pPr>
        <w:autoSpaceDN w:val="0"/>
        <w:tabs>
          <w:tab w:pos="1598" w:val="left"/>
        </w:tabs>
        <w:autoSpaceDE w:val="0"/>
        <w:widowControl/>
        <w:spacing w:line="294" w:lineRule="exact" w:before="0" w:after="0"/>
        <w:ind w:left="1238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Any Agriculture University.</w:t>
      </w:r>
    </w:p>
    <w:p>
      <w:pPr>
        <w:autoSpaceDN w:val="0"/>
        <w:tabs>
          <w:tab w:pos="1598" w:val="left"/>
        </w:tabs>
        <w:autoSpaceDE w:val="0"/>
        <w:widowControl/>
        <w:spacing w:line="294" w:lineRule="exact" w:before="0" w:after="0"/>
        <w:ind w:left="1238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All National and State level research institute.</w:t>
      </w:r>
    </w:p>
    <w:p>
      <w:pPr>
        <w:autoSpaceDN w:val="0"/>
        <w:tabs>
          <w:tab w:pos="1598" w:val="left"/>
        </w:tabs>
        <w:autoSpaceDE w:val="0"/>
        <w:widowControl/>
        <w:spacing w:line="294" w:lineRule="exact" w:before="0" w:after="0"/>
        <w:ind w:left="1238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ISO or FDA/USFDA industry or research center having R &amp; D and Q.C.</w:t>
      </w:r>
    </w:p>
    <w:p>
      <w:pPr>
        <w:autoSpaceDN w:val="0"/>
        <w:autoSpaceDE w:val="0"/>
        <w:widowControl/>
        <w:spacing w:line="324" w:lineRule="exact" w:before="0" w:after="0"/>
        <w:ind w:left="15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facilities.</w:t>
      </w:r>
    </w:p>
    <w:p>
      <w:pPr>
        <w:autoSpaceDN w:val="0"/>
        <w:autoSpaceDE w:val="0"/>
        <w:widowControl/>
        <w:spacing w:line="324" w:lineRule="exact" w:before="0" w:after="0"/>
        <w:ind w:left="51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evaluation of dissertation includes thesis evaluation and its presentation.</w:t>
      </w:r>
    </w:p>
    <w:p>
      <w:pPr>
        <w:autoSpaceDN w:val="0"/>
        <w:tabs>
          <w:tab w:pos="878" w:val="left"/>
        </w:tabs>
        <w:autoSpaceDE w:val="0"/>
        <w:widowControl/>
        <w:spacing w:line="276" w:lineRule="exact" w:before="48" w:after="0"/>
        <w:ind w:left="51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presentation of dissertation shall be done in audio-visual mode by the candidate(s)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within 15 minutes.</w:t>
      </w:r>
    </w:p>
    <w:p>
      <w:pPr>
        <w:autoSpaceDN w:val="0"/>
        <w:tabs>
          <w:tab w:pos="878" w:val="left"/>
        </w:tabs>
        <w:autoSpaceDE w:val="0"/>
        <w:widowControl/>
        <w:spacing w:line="276" w:lineRule="exact" w:before="48" w:after="0"/>
        <w:ind w:left="518" w:right="86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candidate(s) has to submit hard &amp; soft (PDF) copy of their dissertation 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evaluation.</w:t>
      </w:r>
    </w:p>
    <w:p>
      <w:pPr>
        <w:autoSpaceDN w:val="0"/>
        <w:autoSpaceDE w:val="0"/>
        <w:widowControl/>
        <w:spacing w:line="322" w:lineRule="exact" w:before="270" w:after="0"/>
        <w:ind w:left="0" w:right="325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************</w:t>
      </w:r>
    </w:p>
    <w:p>
      <w:pPr>
        <w:sectPr>
          <w:pgSz w:w="11906" w:h="16838"/>
          <w:pgMar w:top="282" w:right="1262" w:bottom="714" w:left="1282" w:header="720" w:footer="720" w:gutter="0"/>
          <w:cols w:space="720" w:num="1" w:equalWidth="0"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56" w:after="218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Seminar Presentation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121"/>
        <w:gridCol w:w="3121"/>
        <w:gridCol w:w="3121"/>
      </w:tblGrid>
      <w:tr>
        <w:trPr>
          <w:trHeight w:hRule="exact" w:val="466"/>
        </w:trPr>
        <w:tc>
          <w:tcPr>
            <w:tcW w:type="dxa" w:w="60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Science</w:t>
            </w:r>
          </w:p>
        </w:tc>
        <w:tc>
          <w:tcPr>
            <w:tcW w:type="dxa" w:w="32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tme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robi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ogy</w:t>
            </w:r>
          </w:p>
        </w:tc>
      </w:tr>
      <w:tr>
        <w:trPr>
          <w:trHeight w:hRule="exact" w:val="466"/>
        </w:trPr>
        <w:tc>
          <w:tcPr>
            <w:tcW w:type="dxa" w:w="60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M.Sc. Microbiology Sem-IV</w:t>
            </w:r>
          </w:p>
        </w:tc>
        <w:tc>
          <w:tcPr>
            <w:tcW w:type="dxa" w:w="32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SC-8</w:t>
            </w:r>
          </w:p>
        </w:tc>
      </w:tr>
      <w:tr>
        <w:trPr>
          <w:trHeight w:hRule="exact" w:val="466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Seminar Presentation</w:t>
            </w:r>
          </w:p>
        </w:tc>
      </w:tr>
      <w:tr>
        <w:trPr>
          <w:trHeight w:hRule="exact" w:val="466"/>
        </w:trPr>
        <w:tc>
          <w:tcPr>
            <w:tcW w:type="dxa" w:w="614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 4</w:t>
            </w:r>
          </w:p>
        </w:tc>
        <w:tc>
          <w:tcPr>
            <w:tcW w:type="dxa" w:w="31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rni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 hours:</w:t>
            </w:r>
          </w:p>
        </w:tc>
      </w:tr>
      <w:tr>
        <w:trPr>
          <w:trHeight w:hRule="exact" w:val="3060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study aims to reveal how the students improved their academic presentation skills and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improvement with influences of students’ scientific and language backgrounds. This course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engages students in critical inquiry through reading, discussion, oral presentations,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writing, emphasizing an in-depth exploration of the writing process from generating ideas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polishing the final draft.</w:t>
            </w:r>
          </w:p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 academic presentation skills are crucial to research and are a generic skill that PG students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science must acquire, we propose that existing student seminar programmes can be used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effectively as an active training programme to improve such skills.</w:t>
            </w:r>
          </w:p>
        </w:tc>
      </w:tr>
      <w:tr>
        <w:trPr>
          <w:trHeight w:hRule="exact" w:val="2880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4" w:val="left"/>
                <w:tab w:pos="824" w:val="left"/>
              </w:tabs>
              <w:autoSpaceDE w:val="0"/>
              <w:widowControl/>
              <w:spacing w:line="302" w:lineRule="exact" w:before="30" w:after="0"/>
              <w:ind w:left="104" w:right="115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4"/>
              </w:rPr>
              <w:t>Upon successful completion, students will have the knowledge and skills to:</w:t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424242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4"/>
              </w:rPr>
              <w:t>Students will demonstrate the ability to perform close and critical readings.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300" w:lineRule="exact" w:before="0" w:after="0"/>
              <w:ind w:left="46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424242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4"/>
              </w:rPr>
              <w:t xml:space="preserve">Students will develop ability to comprehends the relevant topic and effectively explain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4"/>
              </w:rPr>
              <w:t>it.</w:t>
            </w:r>
          </w:p>
          <w:p>
            <w:pPr>
              <w:autoSpaceDN w:val="0"/>
              <w:autoSpaceDE w:val="0"/>
              <w:widowControl/>
              <w:spacing w:line="276" w:lineRule="exact" w:before="48" w:after="0"/>
              <w:ind w:left="4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4"/>
              </w:rPr>
              <w:t>Students will demonstrate the ability to follow discussions, oral arguments, and</w:t>
            </w:r>
            <w:r>
              <w:rPr>
                <w:rFonts w:ascii="SymbolMT" w:hAnsi="SymbolMT" w:eastAsia="SymbolMT"/>
                <w:b w:val="0"/>
                <w:i w:val="0"/>
                <w:color w:val="424242"/>
                <w:sz w:val="24"/>
              </w:rPr>
              <w:t>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4"/>
              </w:rPr>
              <w:t xml:space="preserve">presentations, noting main points or evidence and tracking threads through different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4"/>
              </w:rPr>
              <w:t>comments.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300" w:lineRule="exact" w:before="0" w:after="0"/>
              <w:ind w:left="46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4"/>
              </w:rPr>
              <w:t xml:space="preserve">Students will be able to challenge and offer substantive replies to others' arguments,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4"/>
              </w:rPr>
              <w:t>comments, and questions logically.</w:t>
            </w:r>
          </w:p>
        </w:tc>
      </w:tr>
    </w:tbl>
    <w:p>
      <w:pPr>
        <w:autoSpaceDN w:val="0"/>
        <w:autoSpaceDE w:val="0"/>
        <w:widowControl/>
        <w:spacing w:line="332" w:lineRule="exact" w:before="490" w:after="0"/>
        <w:ind w:left="15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Guidelines for Seminar Presentation</w:t>
      </w:r>
    </w:p>
    <w:p>
      <w:pPr>
        <w:autoSpaceDN w:val="0"/>
        <w:autoSpaceDE w:val="0"/>
        <w:widowControl/>
        <w:spacing w:line="322" w:lineRule="exact" w:before="224" w:after="0"/>
        <w:ind w:left="51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Faculty will mentor the allotted students for selected topics of seminar.</w:t>
      </w:r>
    </w:p>
    <w:p>
      <w:pPr>
        <w:autoSpaceDN w:val="0"/>
        <w:tabs>
          <w:tab w:pos="878" w:val="left"/>
        </w:tabs>
        <w:autoSpaceDE w:val="0"/>
        <w:widowControl/>
        <w:spacing w:line="276" w:lineRule="exact" w:before="46" w:after="0"/>
        <w:ind w:left="518" w:right="72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Students have to individually deliver a seminar on the advance or novel topic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relevance subject other than that mentioned in the curriculum.</w:t>
      </w:r>
    </w:p>
    <w:p>
      <w:pPr>
        <w:autoSpaceDN w:val="0"/>
        <w:autoSpaceDE w:val="0"/>
        <w:widowControl/>
        <w:spacing w:line="322" w:lineRule="exact" w:before="0" w:after="0"/>
        <w:ind w:left="51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Topic should not be related to his/her dissertation.</w:t>
      </w:r>
    </w:p>
    <w:p>
      <w:pPr>
        <w:autoSpaceDN w:val="0"/>
        <w:tabs>
          <w:tab w:pos="878" w:val="left"/>
        </w:tabs>
        <w:autoSpaceDE w:val="0"/>
        <w:widowControl/>
        <w:spacing w:line="276" w:lineRule="exact" w:before="46" w:after="0"/>
        <w:ind w:left="518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seminar presentation shall be done in audio-visual mode by the candidate within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15 minutes.</w:t>
      </w:r>
    </w:p>
    <w:p>
      <w:pPr>
        <w:autoSpaceDN w:val="0"/>
        <w:tabs>
          <w:tab w:pos="878" w:val="left"/>
        </w:tabs>
        <w:autoSpaceDE w:val="0"/>
        <w:widowControl/>
        <w:spacing w:line="276" w:lineRule="exact" w:before="46" w:after="0"/>
        <w:ind w:left="518" w:right="576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Students have to submit copy of color printed handouts (4 slides /page) of his/her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presentation to the examiner.</w:t>
      </w:r>
    </w:p>
    <w:p>
      <w:pPr>
        <w:autoSpaceDN w:val="0"/>
        <w:autoSpaceDE w:val="0"/>
        <w:widowControl/>
        <w:spacing w:line="322" w:lineRule="exact" w:before="98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************</w:t>
      </w:r>
    </w:p>
    <w:p>
      <w:pPr>
        <w:sectPr>
          <w:pgSz w:w="11906" w:h="16838"/>
          <w:pgMar w:top="282" w:right="1262" w:bottom="1092" w:left="1282" w:header="720" w:footer="720" w:gutter="0"/>
          <w:cols w:space="720" w:num="1" w:equalWidth="0">
            <w:col w:w="9362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18.0" w:type="dxa"/>
      </w:tblPr>
      <w:tblGrid>
        <w:gridCol w:w="4681"/>
        <w:gridCol w:w="4681"/>
      </w:tblGrid>
      <w:tr>
        <w:trPr>
          <w:trHeight w:hRule="exact" w:val="1236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44" w:after="0"/>
              <w:ind w:left="12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Review of published research paper/ article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03020" cy="54737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547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121"/>
        <w:gridCol w:w="3121"/>
        <w:gridCol w:w="3121"/>
      </w:tblGrid>
      <w:tr>
        <w:trPr>
          <w:trHeight w:hRule="exact" w:val="466"/>
        </w:trPr>
        <w:tc>
          <w:tcPr>
            <w:tcW w:type="dxa" w:w="60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Science</w:t>
            </w:r>
          </w:p>
        </w:tc>
        <w:tc>
          <w:tcPr>
            <w:tcW w:type="dxa" w:w="32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tme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robi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ogy</w:t>
            </w:r>
          </w:p>
        </w:tc>
      </w:tr>
      <w:tr>
        <w:trPr>
          <w:trHeight w:hRule="exact" w:val="466"/>
        </w:trPr>
        <w:tc>
          <w:tcPr>
            <w:tcW w:type="dxa" w:w="60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M.Sc. Microbiology Sem-IV</w:t>
            </w:r>
          </w:p>
        </w:tc>
        <w:tc>
          <w:tcPr>
            <w:tcW w:type="dxa" w:w="32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SC-9</w:t>
            </w:r>
          </w:p>
        </w:tc>
      </w:tr>
      <w:tr>
        <w:trPr>
          <w:trHeight w:hRule="exact" w:val="466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Review of published research paper/article</w:t>
            </w:r>
          </w:p>
        </w:tc>
      </w:tr>
      <w:tr>
        <w:trPr>
          <w:trHeight w:hRule="exact" w:val="466"/>
        </w:trPr>
        <w:tc>
          <w:tcPr>
            <w:tcW w:type="dxa" w:w="614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 4</w:t>
            </w:r>
          </w:p>
        </w:tc>
        <w:tc>
          <w:tcPr>
            <w:tcW w:type="dxa" w:w="31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rni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 hours:</w:t>
            </w:r>
          </w:p>
        </w:tc>
      </w:tr>
      <w:tr>
        <w:trPr>
          <w:trHeight w:hRule="exact" w:val="1708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description:</w:t>
            </w:r>
          </w:p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0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objective of a literature review is to provide a critical evaluation of the data available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from existing studies. The study of published research article is a survey of previously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published research work on a topic. Study of research articles can identify potential research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areas to be explored and gives new dimensions to the state of the knowledge along with open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development of mind set for critical thinking.</w:t>
            </w:r>
          </w:p>
        </w:tc>
      </w:tr>
      <w:tr>
        <w:trPr>
          <w:trHeight w:hRule="exact" w:val="1758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Student learning outcome: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4.00000000000006" w:type="dxa"/>
            </w:tblPr>
            <w:tblGrid>
              <w:gridCol w:w="4661"/>
              <w:gridCol w:w="4661"/>
            </w:tblGrid>
            <w:tr>
              <w:trPr>
                <w:trHeight w:hRule="exact" w:val="1436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82" w:lineRule="exact" w:before="0" w:after="0"/>
                    <w:ind w:left="240" w:right="110" w:firstLine="0"/>
                    <w:jc w:val="both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424242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424242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</w:tc>
              <w:tc>
                <w:tcPr>
                  <w:tcW w:type="dxa" w:w="8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50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24242"/>
                      <w:sz w:val="24"/>
                    </w:rPr>
                    <w:t xml:space="preserve">Students will demonstrate the ability to identify the disciplinary context for different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24242"/>
                      <w:sz w:val="24"/>
                    </w:rPr>
                    <w:t>kinds of writing, including both informal writing and formal writing.</w:t>
                  </w:r>
                </w:p>
                <w:p>
                  <w:pPr>
                    <w:autoSpaceDN w:val="0"/>
                    <w:autoSpaceDE w:val="0"/>
                    <w:widowControl/>
                    <w:spacing w:line="276" w:lineRule="exact" w:before="48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24242"/>
                      <w:sz w:val="24"/>
                    </w:rPr>
                    <w:t xml:space="preserve">Students will demonstrate the ability to perform critical readings of their own writing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24242"/>
                      <w:sz w:val="24"/>
                    </w:rPr>
                    <w:t>and the writing of others.</w:t>
                  </w:r>
                </w:p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24242"/>
                      <w:sz w:val="24"/>
                    </w:rPr>
                    <w:t>Students will demonstrate the ability to proofre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24242"/>
                      <w:sz w:val="24"/>
                    </w:rPr>
                    <w:t>a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24242"/>
                      <w:sz w:val="24"/>
                    </w:rPr>
                    <w:t>d.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32" w:lineRule="exact" w:before="490" w:after="0"/>
        <w:ind w:left="15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Guidelines for review of published research paper/ article</w:t>
      </w:r>
    </w:p>
    <w:p>
      <w:pPr>
        <w:autoSpaceDN w:val="0"/>
        <w:autoSpaceDE w:val="0"/>
        <w:widowControl/>
        <w:spacing w:line="318" w:lineRule="exact" w:before="194" w:after="0"/>
        <w:ind w:left="518" w:right="72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Student will individually select full length research paper related to the subject.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selected paper should be from a reputed peer reviewed journal having ISSN.</w:t>
      </w:r>
    </w:p>
    <w:p>
      <w:pPr>
        <w:autoSpaceDN w:val="0"/>
        <w:autoSpaceDE w:val="0"/>
        <w:widowControl/>
        <w:spacing w:line="322" w:lineRule="exact" w:before="0" w:after="0"/>
        <w:ind w:left="51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Selected research paper should have been published during the last five years.</w:t>
      </w:r>
    </w:p>
    <w:p>
      <w:pPr>
        <w:autoSpaceDN w:val="0"/>
        <w:tabs>
          <w:tab w:pos="878" w:val="left"/>
        </w:tabs>
        <w:autoSpaceDE w:val="0"/>
        <w:widowControl/>
        <w:spacing w:line="276" w:lineRule="exact" w:before="46" w:after="0"/>
        <w:ind w:left="518" w:right="86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Evaluation of review of published research paper/article includes audio-visual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presentation by student within 15 minutes.</w:t>
      </w:r>
    </w:p>
    <w:p>
      <w:pPr>
        <w:autoSpaceDN w:val="0"/>
        <w:tabs>
          <w:tab w:pos="878" w:val="left"/>
        </w:tabs>
        <w:autoSpaceDE w:val="0"/>
        <w:widowControl/>
        <w:spacing w:line="276" w:lineRule="exact" w:before="46" w:after="0"/>
        <w:ind w:left="518" w:right="576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Students have to submit copy of color printed handouts (4 slides /page) of his/her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presentation to the examiner.</w:t>
      </w:r>
    </w:p>
    <w:p>
      <w:pPr>
        <w:autoSpaceDN w:val="0"/>
        <w:autoSpaceDE w:val="0"/>
        <w:widowControl/>
        <w:spacing w:line="324" w:lineRule="exact" w:before="1182" w:after="0"/>
        <w:ind w:left="0" w:right="325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************</w:t>
      </w:r>
    </w:p>
    <w:sectPr w:rsidR="00FC693F" w:rsidRPr="0006063C" w:rsidSect="00034616">
      <w:pgSz w:w="11906" w:h="16838"/>
      <w:pgMar w:top="282" w:right="1262" w:bottom="1440" w:left="1282" w:header="720" w:footer="720" w:gutter="0"/>
      <w:cols w:space="720" w:num="1" w:equalWidth="0">
        <w:col w:w="9362" w:space="0"/>
        <w:col w:w="9362" w:space="0"/>
        <w:col w:w="9362" w:space="0"/>
        <w:col w:w="9316" w:space="0"/>
        <w:col w:w="4979" w:space="0"/>
        <w:col w:w="4336" w:space="0"/>
        <w:col w:w="10026" w:space="0"/>
        <w:col w:w="5894" w:space="0"/>
        <w:col w:w="4131" w:space="0"/>
        <w:col w:w="9048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info@srki.ac.in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