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970"/>
      </w:tblGrid>
      <w:tr>
        <w:trPr>
          <w:trHeight w:hRule="exact" w:val="15829"/>
        </w:trPr>
        <w:tc>
          <w:tcPr>
            <w:tcW w:type="dxa" w:w="10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00" w:after="0"/>
              <w:ind w:left="1296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72"/>
              </w:rPr>
              <w:t xml:space="preserve">SARVAJANIK UNIVERSITY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56"/>
              </w:rPr>
              <w:t xml:space="preserve">SURAT </w:t>
            </w:r>
          </w:p>
          <w:p>
            <w:pPr>
              <w:autoSpaceDN w:val="0"/>
              <w:autoSpaceDE w:val="0"/>
              <w:widowControl/>
              <w:spacing w:line="240" w:lineRule="auto" w:before="412" w:after="0"/>
              <w:ind w:left="21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973320" cy="285369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320" cy="2853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5" w:lineRule="auto" w:before="406" w:after="0"/>
              <w:ind w:left="2304" w:right="100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96"/>
              </w:rPr>
              <w:t xml:space="preserve">Master of Science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96"/>
              </w:rPr>
              <w:t xml:space="preserve">(Chemistry) </w:t>
            </w:r>
          </w:p>
          <w:p>
            <w:pPr>
              <w:autoSpaceDN w:val="0"/>
              <w:tabs>
                <w:tab w:pos="3396" w:val="left"/>
              </w:tabs>
              <w:autoSpaceDE w:val="0"/>
              <w:widowControl/>
              <w:spacing w:line="368" w:lineRule="exact" w:before="368" w:after="0"/>
              <w:ind w:left="3130" w:right="187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32"/>
              </w:rPr>
              <w:t xml:space="preserve">[Applicable for Academic Session 2020-21]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2"/>
              </w:rPr>
              <w:t>[As per CBCS guidelines given by UGC]</w:t>
            </w:r>
          </w:p>
          <w:p>
            <w:pPr>
              <w:autoSpaceDN w:val="0"/>
              <w:autoSpaceDE w:val="0"/>
              <w:widowControl/>
              <w:spacing w:line="197" w:lineRule="auto" w:before="35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6" w:bottom="240" w:left="480" w:header="720" w:footer="720" w:gutter="0"/>
          <w:cols w:space="720" w:num="1" w:equalWidth="0"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730"/>
        <w:ind w:left="1584" w:right="273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FIRST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49"/>
        <w:gridCol w:w="2049"/>
        <w:gridCol w:w="2049"/>
        <w:gridCol w:w="2049"/>
        <w:gridCol w:w="2049"/>
      </w:tblGrid>
      <w:tr>
        <w:trPr>
          <w:trHeight w:hRule="exact" w:val="630"/>
        </w:trPr>
        <w:tc>
          <w:tcPr>
            <w:tcW w:type="dxa" w:w="9968"/>
            <w:gridSpan w:val="5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249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32"/>
              </w:rPr>
              <w:t xml:space="preserve">M.Sc.  Organic Chemistry Syllabus </w:t>
            </w:r>
          </w:p>
        </w:tc>
      </w:tr>
      <w:tr>
        <w:trPr>
          <w:trHeight w:hRule="exact" w:val="280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5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2"/>
              </w:rPr>
              <w:t xml:space="preserve">Semester-1 </w:t>
            </w:r>
          </w:p>
        </w:tc>
        <w:tc>
          <w:tcPr>
            <w:tcW w:type="dxa" w:w="2024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2"/>
              </w:rPr>
              <w:t xml:space="preserve">Semester-2 </w:t>
            </w:r>
          </w:p>
        </w:tc>
        <w:tc>
          <w:tcPr>
            <w:tcW w:type="dxa" w:w="191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2"/>
              </w:rPr>
              <w:t xml:space="preserve">Semester-3 </w:t>
            </w:r>
          </w:p>
        </w:tc>
        <w:tc>
          <w:tcPr>
            <w:tcW w:type="dxa" w:w="16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2"/>
              </w:rPr>
              <w:t xml:space="preserve">Semester-4 </w:t>
            </w:r>
          </w:p>
        </w:tc>
      </w:tr>
      <w:tr>
        <w:trPr>
          <w:trHeight w:hRule="exact" w:val="832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0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Core-1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(DSC) </w:t>
            </w:r>
          </w:p>
        </w:tc>
        <w:tc>
          <w:tcPr>
            <w:tcW w:type="dxa" w:w="215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22"/>
              </w:rPr>
              <w:t xml:space="preserve">Theoretical organic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22"/>
              </w:rPr>
              <w:t xml:space="preserve">chemistry (DSC I) </w:t>
            </w:r>
          </w:p>
        </w:tc>
        <w:tc>
          <w:tcPr>
            <w:tcW w:type="dxa" w:w="2024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Organic synthesis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mechanism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(DSC III) </w:t>
            </w:r>
          </w:p>
        </w:tc>
        <w:tc>
          <w:tcPr>
            <w:tcW w:type="dxa" w:w="191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Organic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Spectroscopy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(DSC V) </w:t>
            </w:r>
          </w:p>
        </w:tc>
        <w:tc>
          <w:tcPr>
            <w:tcW w:type="dxa" w:w="1648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Dissertation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(SEC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Component) </w:t>
            </w:r>
          </w:p>
        </w:tc>
      </w:tr>
      <w:tr>
        <w:trPr>
          <w:trHeight w:hRule="exact" w:val="1020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Core-2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(DSC) </w:t>
            </w:r>
          </w:p>
        </w:tc>
        <w:tc>
          <w:tcPr>
            <w:tcW w:type="dxa" w:w="215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Industrial Processes,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Waste Management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&amp; Quality Control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(DSC II) </w:t>
            </w:r>
          </w:p>
        </w:tc>
        <w:tc>
          <w:tcPr>
            <w:tcW w:type="dxa" w:w="2024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22"/>
              </w:rPr>
              <w:t xml:space="preserve">Chemistry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22"/>
              </w:rPr>
              <w:t xml:space="preserve">Natural Products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22"/>
              </w:rPr>
              <w:t>(DSC IV)</w:t>
            </w:r>
          </w:p>
        </w:tc>
        <w:tc>
          <w:tcPr>
            <w:tcW w:type="dxa" w:w="191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Designing organic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synthesis (DSC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VI) </w:t>
            </w:r>
          </w:p>
        </w:tc>
        <w:tc>
          <w:tcPr>
            <w:tcW w:type="dxa" w:w="2049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1386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Skill 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(SEC) </w:t>
            </w:r>
          </w:p>
        </w:tc>
        <w:tc>
          <w:tcPr>
            <w:tcW w:type="dxa" w:w="215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Advance analytical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chemistry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(SEC I) </w:t>
            </w:r>
          </w:p>
        </w:tc>
        <w:tc>
          <w:tcPr>
            <w:tcW w:type="dxa" w:w="2024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Instrumentation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analytical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techniques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(SEC II) </w:t>
            </w:r>
          </w:p>
        </w:tc>
        <w:tc>
          <w:tcPr>
            <w:tcW w:type="dxa" w:w="191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Analytical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Techniques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Applied Chemistry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(SEC III) </w:t>
            </w:r>
          </w:p>
        </w:tc>
        <w:tc>
          <w:tcPr>
            <w:tcW w:type="dxa" w:w="16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Physical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Organic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Chemistry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(DSC- VII) </w:t>
            </w:r>
          </w:p>
        </w:tc>
      </w:tr>
      <w:tr>
        <w:trPr>
          <w:trHeight w:hRule="exact" w:val="846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Discipline Centric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Electives (DSE) </w:t>
            </w:r>
          </w:p>
        </w:tc>
        <w:tc>
          <w:tcPr>
            <w:tcW w:type="dxa" w:w="215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shd w:fill="f68b7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Food Chemistry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(DSE I) </w:t>
            </w:r>
          </w:p>
        </w:tc>
        <w:tc>
          <w:tcPr>
            <w:tcW w:type="dxa" w:w="2024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shd w:fill="f68b7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Forensic Chemistry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&amp; Toxicology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(DSE II) </w:t>
            </w:r>
          </w:p>
        </w:tc>
        <w:tc>
          <w:tcPr>
            <w:tcW w:type="dxa" w:w="1912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68b7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Applications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Green Chemistry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(DSE III) </w:t>
            </w:r>
          </w:p>
        </w:tc>
        <w:tc>
          <w:tcPr>
            <w:tcW w:type="dxa" w:w="164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Medicinal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Chemistry/Dyes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(DSE-IV) </w:t>
            </w:r>
          </w:p>
        </w:tc>
      </w:tr>
    </w:tbl>
    <w:p>
      <w:pPr>
        <w:autoSpaceDN w:val="0"/>
        <w:autoSpaceDE w:val="0"/>
        <w:widowControl/>
        <w:spacing w:line="7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23.9999999999998" w:type="dxa"/>
      </w:tblPr>
      <w:tblGrid>
        <w:gridCol w:w="5123"/>
        <w:gridCol w:w="5123"/>
      </w:tblGrid>
      <w:tr>
        <w:trPr>
          <w:trHeight w:hRule="exact" w:val="31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6"/>
              </w:rPr>
              <w:t xml:space="preserve">Semester </w:t>
            </w:r>
          </w:p>
        </w:tc>
        <w:tc>
          <w:tcPr>
            <w:tcW w:type="dxa" w:w="5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6"/>
              </w:rPr>
              <w:t xml:space="preserve">Discipline Specific Elective Courses </w:t>
            </w:r>
          </w:p>
        </w:tc>
      </w:tr>
      <w:tr>
        <w:trPr>
          <w:trHeight w:hRule="exact" w:val="1206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1 </w:t>
            </w:r>
          </w:p>
        </w:tc>
        <w:tc>
          <w:tcPr>
            <w:tcW w:type="dxa" w:w="51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5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Food Chemistry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Energy and Environment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Laboratory safety and management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Bioethics </w:t>
            </w:r>
          </w:p>
        </w:tc>
      </w:tr>
      <w:tr>
        <w:trPr>
          <w:trHeight w:hRule="exact" w:val="1206"/>
        </w:trPr>
        <w:tc>
          <w:tcPr>
            <w:tcW w:type="dxa" w:w="12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2 </w:t>
            </w:r>
          </w:p>
        </w:tc>
        <w:tc>
          <w:tcPr>
            <w:tcW w:type="dxa" w:w="51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2" w:after="0"/>
              <w:ind w:left="15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Forensic Chemistry &amp; Toxicology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Bioinformatics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IPR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Biostatistics. </w:t>
            </w:r>
          </w:p>
        </w:tc>
      </w:tr>
      <w:tr>
        <w:trPr>
          <w:trHeight w:hRule="exact" w:val="1206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3 </w:t>
            </w:r>
          </w:p>
        </w:tc>
        <w:tc>
          <w:tcPr>
            <w:tcW w:type="dxa" w:w="51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5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Forensic biology and DNA typing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Research Methodology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Bio-entrepreneurship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Application of Green Chemistry </w:t>
            </w:r>
          </w:p>
        </w:tc>
      </w:tr>
      <w:tr>
        <w:trPr>
          <w:trHeight w:hRule="exact" w:val="884"/>
        </w:trPr>
        <w:tc>
          <w:tcPr>
            <w:tcW w:type="dxa" w:w="12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4. </w:t>
            </w:r>
          </w:p>
        </w:tc>
        <w:tc>
          <w:tcPr>
            <w:tcW w:type="dxa" w:w="51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6" w:after="0"/>
              <w:ind w:left="104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1.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Medicinal Chemistry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 Dyes</w:t>
            </w:r>
          </w:p>
        </w:tc>
      </w:tr>
    </w:tbl>
    <w:p>
      <w:pPr>
        <w:autoSpaceDN w:val="0"/>
        <w:autoSpaceDE w:val="0"/>
        <w:widowControl/>
        <w:spacing w:line="197" w:lineRule="auto" w:before="2622" w:after="0"/>
        <w:ind w:left="0" w:right="116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1906" w:h="16838"/>
          <w:pgMar w:top="360" w:right="220" w:bottom="490" w:left="1440" w:header="720" w:footer="720" w:gutter="0"/>
          <w:cols w:space="720" w:num="1" w:equalWidth="0">
            <w:col w:w="10246" w:space="0"/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336"/>
        <w:ind w:left="1584" w:right="288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FIRST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54"/>
        <w:gridCol w:w="3454"/>
        <w:gridCol w:w="3454"/>
      </w:tblGrid>
      <w:tr>
        <w:trPr>
          <w:trHeight w:hRule="exact" w:val="286"/>
        </w:trPr>
        <w:tc>
          <w:tcPr>
            <w:tcW w:type="dxa" w:w="5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M.Sc. Organic Chemistry</w:t>
            </w:r>
          </w:p>
        </w:tc>
        <w:tc>
          <w:tcPr>
            <w:tcW w:type="dxa" w:w="4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288"/>
        </w:trPr>
        <w:tc>
          <w:tcPr>
            <w:tcW w:type="dxa" w:w="5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Semester: II </w:t>
            </w:r>
          </w:p>
        </w:tc>
        <w:tc>
          <w:tcPr>
            <w:tcW w:type="dxa" w:w="4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8"/>
        </w:trPr>
        <w:tc>
          <w:tcPr>
            <w:tcW w:type="dxa" w:w="989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Subject:  DSC-I-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6"/>
              </w:rPr>
              <w:t xml:space="preserve"> Theoretical Organic Chemistry</w:t>
            </w:r>
          </w:p>
        </w:tc>
      </w:tr>
      <w:tr>
        <w:trPr>
          <w:trHeight w:hRule="exact" w:val="286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04(T) + 02 (P)</w:t>
            </w:r>
          </w:p>
        </w:tc>
        <w:tc>
          <w:tcPr>
            <w:tcW w:type="dxa" w:w="50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4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562"/>
        </w:trPr>
        <w:tc>
          <w:tcPr>
            <w:tcW w:type="dxa" w:w="989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This course paper is about Substitution, Addition, Elimination, Pericyclic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Reactions, Stereochemistry, Photochemistry, Organic Reagents.</w:t>
            </w:r>
          </w:p>
        </w:tc>
      </w:tr>
      <w:tr>
        <w:trPr>
          <w:trHeight w:hRule="exact" w:val="1442"/>
        </w:trPr>
        <w:tc>
          <w:tcPr>
            <w:tcW w:type="dxa" w:w="9894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282" w:lineRule="exact" w:before="0" w:after="0"/>
              <w:ind w:left="104" w:right="37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 the end of the course students will be able to learn...about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Different mechanisms of substitution reaction.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Addition, Elimination reactions.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46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Pericyclic Reactions, Stereochemistry, Photochemistry, Organic Reagents.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4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81"/>
        <w:gridCol w:w="5181"/>
      </w:tblGrid>
      <w:tr>
        <w:trPr>
          <w:trHeight w:hRule="exact" w:val="384"/>
        </w:trPr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Unit 1 Substitution Reactions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5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(10 Hours) </w:t>
            </w:r>
          </w:p>
        </w:tc>
      </w:tr>
    </w:tbl>
    <w:p>
      <w:pPr>
        <w:autoSpaceDN w:val="0"/>
        <w:tabs>
          <w:tab w:pos="360" w:val="left"/>
        </w:tabs>
        <w:autoSpaceDE w:val="0"/>
        <w:widowControl/>
        <w:spacing w:line="276" w:lineRule="exact" w:before="12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SN2, SN1, mixed SN1 and SN2 and SET mechanism, SE2 and SE1 mechanism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Reactivity effects of substrate structure, attacking nucleophile, leaving group and reaction medium;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ambident nucleophile, regioselectivity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SNAr, benzyne and SNi mechanism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Arenium ion mechanism, ipso attack, orientation in other ring systems </w:t>
      </w:r>
    </w:p>
    <w:p>
      <w:pPr>
        <w:autoSpaceDN w:val="0"/>
        <w:tabs>
          <w:tab w:pos="300" w:val="left"/>
          <w:tab w:pos="906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2 Elimination and Addition Reactions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(12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The E2, E1 and E1cB mechanisms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Hoffman and Saytzeff modes of elimination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Orientation of the double bond, reactivity effects of substrate structures, attacking base,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leaving group and the medium, pyrolytic elimination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Regio- and chemo selectivity, orientation and reactivity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2.5 Reactivity of carbonyl group, nucleophilic addition of hetero-atoms (N,O) </w:t>
      </w:r>
    </w:p>
    <w:p>
      <w:pPr>
        <w:autoSpaceDN w:val="0"/>
        <w:tabs>
          <w:tab w:pos="720" w:val="left"/>
          <w:tab w:pos="9002" w:val="left"/>
        </w:tabs>
        <w:autoSpaceDE w:val="0"/>
        <w:widowControl/>
        <w:spacing w:line="278" w:lineRule="exact" w:before="27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3 Organic Reaction Mechanisms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(08 Hours)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Methods of determination of reaction mechanism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Neighboring group participation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3.2.1 Mechanism and effects of a chimeric assistance NGP by unshared/ lone pair electrons,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 xml:space="preserve"> 𝜋−</w:t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𝑒𝑙𝑒𝑐𝑡𝑟𝑜𝑛𝑠,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aromatic rings, σ -bonds with special reference to norbornyl and bicyclo [2.2.2] octyl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cation systems (formation of non-classical carbocation)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Role of FMOs in organic reactivity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3.3.1 Reactions involving hard and soft electrophiles and nucleophiles, ambident nucleophiles,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ambident electrophiles, the α-effect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4 Pericyclic reactions -I                                                                                                      (06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of Pericyclic reactions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Thermal and photochemical reactions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Three approaches: Evidence for the concertedness of bond making and breaking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Symmetry-allowed and Symmetry -forbidden Reactions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wood ward -Hoffmann Rules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Aromatic Transition structure [ Huckel &amp;Mobius]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Frontier orbitals correlation Diagrams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Frontier orbital of ethylene, 1,3-butadiene &amp;1,3,5-Hexatriene and allyl system </w:t>
      </w:r>
    </w:p>
    <w:p>
      <w:pPr>
        <w:autoSpaceDN w:val="0"/>
        <w:autoSpaceDE w:val="0"/>
        <w:widowControl/>
        <w:spacing w:line="197" w:lineRule="auto" w:before="368" w:after="0"/>
        <w:ind w:left="0" w:right="128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1906" w:h="16838"/>
          <w:pgMar w:top="360" w:right="104" w:bottom="490" w:left="1440" w:header="720" w:footer="720" w:gutter="0"/>
          <w:cols w:space="720" w:num="1" w:equalWidth="0">
            <w:col w:w="10362" w:space="0"/>
            <w:col w:w="10246" w:space="0"/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288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FIRST SEMESTER </w:t>
      </w:r>
    </w:p>
    <w:p>
      <w:pPr>
        <w:autoSpaceDN w:val="0"/>
        <w:tabs>
          <w:tab w:pos="9002" w:val="left"/>
        </w:tabs>
        <w:autoSpaceDE w:val="0"/>
        <w:widowControl/>
        <w:spacing w:line="230" w:lineRule="auto" w:before="55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5 Pericyclic Reaction-II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(06 Hours)  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80" w:after="0"/>
        <w:ind w:left="0" w:right="41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Cycloaddition reactions: Supra and antra facial addition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4n and 4n+2 systems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1,3- Dipolar cyclo addition and cheletropic reactions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Sigmatropic rearrangements: H-shifts and C-shifts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Supra and antarafacial migrations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Cope and Azacope rearrangements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Claisen and Ene rearrangements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6  Stereochemistry                                                                                                               (06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of point groups based on symmetry elements with examples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(non mathematical treatment)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Conformational analysis of medium rings: eight to ten membered rings and their unusual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properties, I-strain, transannular reactions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Stereochemistry of fused ring and bridged ring compounds: decalins, hydrindanes,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perhydroantracenes, steroids and Bredt’s rule.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Anancomeric systems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Effect of conformation on reactivity of cyclohexane derivatives in the following reactions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(including mechanism) electrophilic addition, elimination, molecular rearrangements, reduction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cyclohexanones. (with LiAlH4,selectride MPV Reduction)and oxidation of cyclohexanols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7 Photochemistry                                                                                                                 (06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Principles of photochemistry: quantum yield, electronic states and, transitions, selection rules,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dissipation of energy (Jablonski diagram), electronic energy transfer, photosensitization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quenching process.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Photochemistry of carbonyl compounds: ππ    Norish -I and Norish –II Cleavages, Paterno-Buchi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reaction, photo reduction Calculation quantum   yield, photochemistry of enones, photochemical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rearrangements of α, β unsaturated ketones and  cyclohexadienones, photo Fries rearrangement,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Borton reaction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Photochemistry of olefins: cis-trans isomerizations, dimerisations, hydro abstruction,  addition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Di-π  methane rearrangement including azo -di-π methane. </w:t>
      </w:r>
    </w:p>
    <w:p>
      <w:pPr>
        <w:autoSpaceDN w:val="0"/>
        <w:autoSpaceDE w:val="0"/>
        <w:widowControl/>
        <w:spacing w:line="266" w:lineRule="exact" w:before="1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Photochemical cross-coupling of alkenes,  photodimerization of alkenes.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Photochemistry of arenes ; 1,2-1,3- and 1,4 additions,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photocycloaddition of aromatic rings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Singlet oxygen and photo-oxygenation reaction, photo chemically induced radical reactions,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Chemiluminescene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Unit 8  Organic Reagents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(06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Organo-metallic Reagents: Principle, preparation, properties and applications of the following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synthesis with mechanistic details: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8.1.1 Gilman’s Reagent (Lithium Dimethyl cuprate), Organocerium Reagents, Organochromium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Reagents, Organosilicon Reagents.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Organo-nonmetallic Reagents. Principle, preparation, properties and applications of the following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  organic synthesis with mechanistic details: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8.2.1 Trimethylsilyl iodide,Diazomethane, Polyphosphoric acid, Dicyclohexylcarbodiimide, Borane </w:t>
      </w:r>
    </w:p>
    <w:p>
      <w:pPr>
        <w:autoSpaceDN w:val="0"/>
        <w:autoSpaceDE w:val="0"/>
        <w:widowControl/>
        <w:spacing w:line="197" w:lineRule="auto" w:before="772" w:after="0"/>
        <w:ind w:left="0" w:right="128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1906" w:h="16838"/>
          <w:pgMar w:top="362" w:right="104" w:bottom="490" w:left="1440" w:header="720" w:footer="720" w:gutter="0"/>
          <w:cols w:space="720" w:num="1" w:equalWidth="0">
            <w:col w:w="10362" w:space="0"/>
            <w:col w:w="10362" w:space="0"/>
            <w:col w:w="10246" w:space="0"/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728" w:right="288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FIRST SEMESTER </w:t>
      </w:r>
    </w:p>
    <w:p>
      <w:pPr>
        <w:autoSpaceDN w:val="0"/>
        <w:tabs>
          <w:tab w:pos="76" w:val="left"/>
          <w:tab w:pos="360" w:val="left"/>
        </w:tabs>
        <w:autoSpaceDE w:val="0"/>
        <w:widowControl/>
        <w:spacing w:line="274" w:lineRule="exact" w:before="27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Advanced Organic Chemistry Part A and Part B, Carey B. F. A., Sundberg R.J., 5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2007,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Springer.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Stereochemistry: Conformation and Mechanism, Kalsi, P.S., 2010, New Age International (p) Ltd.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New Delhi.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Organic Chemistry, Morrison, R.T., Boyd, R.N.,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2011, Prentice- Hall of India, New Delhi,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2011.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March’s Advanced Organic Chemistry, Smith, M. B., March J.,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John Wiley and Sons, New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York. </w:t>
      </w:r>
    </w:p>
    <w:p>
      <w:pPr>
        <w:autoSpaceDN w:val="0"/>
        <w:autoSpaceDE w:val="0"/>
        <w:widowControl/>
        <w:spacing w:line="276" w:lineRule="exact" w:before="10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Guide Book to Mechanism in Organic Chemistry, Sykes, P.,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Prentice Hall, 1997.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Stereochemistry of carbon compounds, Eliel, E. L., S. H. Wiley, 2008. </w:t>
      </w:r>
    </w:p>
    <w:p>
      <w:pPr>
        <w:autoSpaceDN w:val="0"/>
        <w:autoSpaceDE w:val="0"/>
        <w:widowControl/>
        <w:spacing w:line="276" w:lineRule="exact" w:before="1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Organic Chemistry, Clayden, J.; Greeves, N.; Warren, S., Oxford University press, 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2012.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Organic Chemistry, Bruice Paula, Y., 7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2015, Pearson Edition. </w:t>
      </w:r>
    </w:p>
    <w:p>
      <w:pPr>
        <w:autoSpaceDN w:val="0"/>
        <w:autoSpaceDE w:val="0"/>
        <w:widowControl/>
        <w:spacing w:line="197" w:lineRule="auto" w:before="10064" w:after="0"/>
        <w:ind w:left="0" w:right="12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1906" w:h="16838"/>
          <w:pgMar w:top="360" w:right="188" w:bottom="490" w:left="1364" w:header="720" w:footer="720" w:gutter="0"/>
          <w:cols w:space="720" w:num="1" w:equalWidth="0">
            <w:col w:w="10353" w:space="0"/>
            <w:col w:w="10362" w:space="0"/>
            <w:col w:w="10362" w:space="0"/>
            <w:col w:w="10246" w:space="0"/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304"/>
        <w:ind w:left="1728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FIRST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06"/>
        <w:gridCol w:w="3306"/>
        <w:gridCol w:w="3306"/>
      </w:tblGrid>
      <w:tr>
        <w:trPr>
          <w:trHeight w:hRule="exact" w:val="286"/>
        </w:trPr>
        <w:tc>
          <w:tcPr>
            <w:tcW w:type="dxa" w:w="52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M.Sc. Organic Chemistry</w:t>
            </w:r>
          </w:p>
        </w:tc>
        <w:tc>
          <w:tcPr>
            <w:tcW w:type="dxa" w:w="464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286"/>
        </w:trPr>
        <w:tc>
          <w:tcPr>
            <w:tcW w:type="dxa" w:w="52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Semester: I </w:t>
            </w:r>
          </w:p>
        </w:tc>
        <w:tc>
          <w:tcPr>
            <w:tcW w:type="dxa" w:w="464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9888"/>
            <w:gridSpan w:val="3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DSC-II-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1"/>
              </w:rPr>
              <w:t>INDUSTRIAL PROCESSES, WASTE MANAGEMENT &amp; QUALITY CONTROL</w:t>
            </w:r>
          </w:p>
        </w:tc>
      </w:tr>
      <w:tr>
        <w:trPr>
          <w:trHeight w:hRule="exact" w:val="288"/>
        </w:trPr>
        <w:tc>
          <w:tcPr>
            <w:tcW w:type="dxa" w:w="4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04(T) + 02 (P)</w:t>
            </w:r>
          </w:p>
        </w:tc>
        <w:tc>
          <w:tcPr>
            <w:tcW w:type="dxa" w:w="499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4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664"/>
        </w:trPr>
        <w:tc>
          <w:tcPr>
            <w:tcW w:type="dxa" w:w="988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This course will provide the student with an introduction to the concepts and technologies of the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principal manufacturing processes utilized by industry. Subjects include the manufacturing system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its operating principles, and advanced manufacturing processes, industrial effluent treatment,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solid and hazardous waste management. Course provides the idea about quality control and quality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management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safety in chemical industries.</w:t>
            </w:r>
          </w:p>
        </w:tc>
      </w:tr>
      <w:tr>
        <w:trPr>
          <w:trHeight w:hRule="exact" w:val="1764"/>
        </w:trPr>
        <w:tc>
          <w:tcPr>
            <w:tcW w:type="dxa" w:w="988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82" w:lineRule="exact" w:before="0" w:after="0"/>
              <w:ind w:left="100" w:right="316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 the end of the course students will be able to...learn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different unit processes, different separation techniques. </w:t>
            </w:r>
          </w:p>
          <w:p>
            <w:pPr>
              <w:autoSpaceDN w:val="0"/>
              <w:autoSpaceDE w:val="0"/>
              <w:widowControl/>
              <w:spacing w:line="294" w:lineRule="exact" w:before="2" w:after="0"/>
              <w:ind w:left="4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Effluent treatment, Waste management and process Instrumentation. </w:t>
            </w:r>
          </w:p>
          <w:p>
            <w:pPr>
              <w:autoSpaceDN w:val="0"/>
              <w:autoSpaceDE w:val="0"/>
              <w:widowControl/>
              <w:spacing w:line="292" w:lineRule="exact" w:before="38" w:after="0"/>
              <w:ind w:left="4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Also learn about quality control techniques, assurance and management in chemical industry </w:t>
            </w:r>
          </w:p>
        </w:tc>
      </w:tr>
    </w:tbl>
    <w:p>
      <w:pPr>
        <w:autoSpaceDN w:val="0"/>
        <w:autoSpaceDE w:val="0"/>
        <w:widowControl/>
        <w:spacing w:line="5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1.999999999999886" w:type="dxa"/>
      </w:tblPr>
      <w:tblGrid>
        <w:gridCol w:w="3306"/>
        <w:gridCol w:w="3306"/>
        <w:gridCol w:w="3306"/>
      </w:tblGrid>
      <w:tr>
        <w:trPr>
          <w:trHeight w:hRule="exact" w:val="312"/>
        </w:trPr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 1 Unit Processes and Chemical Reactions in Organic Chemistry 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4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(10 Hours) </w:t>
            </w:r>
          </w:p>
        </w:tc>
      </w:tr>
      <w:tr>
        <w:trPr>
          <w:trHeight w:hRule="exact" w:val="29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1.1</w:t>
            </w:r>
          </w:p>
        </w:tc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Unit processes: Nitration, Halogenation, Sulphonation, Sulphanation, </w:t>
            </w:r>
          </w:p>
        </w:tc>
        <w:tc>
          <w:tcPr>
            <w:tcW w:type="dxa" w:w="3306"/>
            <w:vMerge/>
            <w:tcBorders/>
          </w:tcPr>
          <w:p/>
        </w:tc>
      </w:tr>
    </w:tbl>
    <w:p>
      <w:pPr>
        <w:autoSpaceDN w:val="0"/>
        <w:tabs>
          <w:tab w:pos="832" w:val="left"/>
        </w:tabs>
        <w:autoSpaceDE w:val="0"/>
        <w:widowControl/>
        <w:spacing w:line="276" w:lineRule="exact" w:before="0" w:after="0"/>
        <w:ind w:left="112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Oxidation, Hydrogenation Esterification, Hydrolysis, Alkylation, Aminolysis,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Amination, Cyanation, Will –Meyer reaction, Formylation, Polymerization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Aerobic and Anaerobic Fermentation: Production of Ethyl Alcohol and Citric Acid,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Antibiotics: Penicillin, Cephalosporin, Chloromycetin and Streptomycin, Amino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Acids: Lysine, Glutamic Acid, Vitamins: Vitamin B2, Vitamin B12 and Vitamin 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Important Chemical Reaction &amp; Their Applications in Chemical Process Industries </w:t>
      </w:r>
    </w:p>
    <w:p>
      <w:pPr>
        <w:autoSpaceDN w:val="0"/>
        <w:tabs>
          <w:tab w:pos="832" w:val="left"/>
          <w:tab w:pos="8034" w:val="left"/>
        </w:tabs>
        <w:autoSpaceDE w:val="0"/>
        <w:widowControl/>
        <w:spacing w:line="276" w:lineRule="exact" w:before="276" w:after="0"/>
        <w:ind w:left="112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2 Unit Operations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(04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 and Method of Distillation, Solvent Extraction, Solid-Liquid Leaching,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Liquid - Liquid Extraction, Membrane Processes, Absorption, Adsorption,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Crystallization Process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      Physical techniques in chemical industries: Filtration, Centrifugation, Drying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Equipment needed in chemical technology: Reactors, Distillation columns, Extruders,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Pumps, Mills, Emulators </w:t>
      </w:r>
    </w:p>
    <w:p>
      <w:pPr>
        <w:autoSpaceDN w:val="0"/>
        <w:tabs>
          <w:tab w:pos="832" w:val="left"/>
          <w:tab w:pos="8034" w:val="left"/>
        </w:tabs>
        <w:autoSpaceDE w:val="0"/>
        <w:widowControl/>
        <w:spacing w:line="276" w:lineRule="exact" w:before="276" w:after="0"/>
        <w:ind w:left="112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3 Process Instrumentation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(04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Principle and Applications of: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3.1.1  Flowmeter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3.1.2  Temperature &amp; Pressure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3.1.3  pH, Oxidation Reduction Potential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3.1.4  D.O. &amp; Turbidity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3.1.5  Other Sensors for Water Quality Monitoring </w:t>
      </w:r>
    </w:p>
    <w:p>
      <w:pPr>
        <w:autoSpaceDN w:val="0"/>
        <w:tabs>
          <w:tab w:pos="832" w:val="left"/>
          <w:tab w:pos="8034" w:val="left"/>
        </w:tabs>
        <w:autoSpaceDE w:val="0"/>
        <w:widowControl/>
        <w:spacing w:line="276" w:lineRule="exact" w:before="276" w:after="0"/>
        <w:ind w:left="112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4 Industrial Effluent Treatment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(08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Need for effluent treatment and principle of ETP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Primary Treatment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Secondary Treatment </w:t>
      </w:r>
    </w:p>
    <w:p>
      <w:pPr>
        <w:autoSpaceDN w:val="0"/>
        <w:autoSpaceDE w:val="0"/>
        <w:widowControl/>
        <w:spacing w:line="197" w:lineRule="auto" w:before="394" w:after="0"/>
        <w:ind w:left="0" w:right="72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1906" w:h="16838"/>
          <w:pgMar w:top="360" w:right="660" w:bottom="490" w:left="1328" w:header="720" w:footer="720" w:gutter="0"/>
          <w:cols w:space="720" w:num="1" w:equalWidth="0">
            <w:col w:w="9918" w:space="0"/>
            <w:col w:w="10353" w:space="0"/>
            <w:col w:w="10362" w:space="0"/>
            <w:col w:w="10362" w:space="0"/>
            <w:col w:w="10246" w:space="0"/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</w:p>
    <w:p>
      <w:pPr>
        <w:autoSpaceDN w:val="0"/>
        <w:autoSpaceDE w:val="0"/>
        <w:widowControl/>
        <w:spacing w:line="354" w:lineRule="exact" w:before="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</w:p>
    <w:p>
      <w:pPr>
        <w:autoSpaceDN w:val="0"/>
        <w:autoSpaceDE w:val="0"/>
        <w:widowControl/>
        <w:spacing w:line="266" w:lineRule="exact" w:before="1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FIRST SEMESTER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2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Tertiary Treatment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      Gaseous pollution control in ETP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Indian standards for disposal of industrial effluents 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5 Solid &amp; Hazardous Waste Management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(10 Hours)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of Solid &amp; Hazardous Waste generated in Chemical Industry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Sources and Classification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Identification: Characteristics and types of listed hazardous waste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Treatment and Disposal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Management and Handling Rules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6 Quality Control &amp; Assurance in Chemical industry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(12 Hours)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Statistical Treatment of data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Control charts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Performance Evaluation uncertainties in measurement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Validation of analytical Methods, instrumentation, persons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Elements of quality assurance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Quality management concepts and principles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Quality Management System: ISO 9001:2016 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7 TQM in Chemical Industry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(06 Hours)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Six sigma approach to Quality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Applying six sigma to chemical Industries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Good Laboratory Practices: principles of GLP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GMP in Drugs &amp; Pharmaceutical Industries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Accreditation of QC laboratories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Tools and Mechanisms ICH Guidelines on Drug substances &amp; products </w:t>
      </w:r>
    </w:p>
    <w:p>
      <w:pPr>
        <w:autoSpaceDN w:val="0"/>
        <w:tabs>
          <w:tab w:pos="7862" w:val="left"/>
        </w:tabs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8  Safety in Chemical Industries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(06 Hours)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Need of Safety in Chemical Industries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Indian Standards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 of Chemical Hazards &amp; Controls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Storage Hazards &amp; controls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 Hazards and Control,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Safe Transfer and Transportation of chemical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8.7       NFPA, GHS </w:t>
      </w:r>
    </w:p>
    <w:p>
      <w:pPr>
        <w:autoSpaceDN w:val="0"/>
        <w:autoSpaceDE w:val="0"/>
        <w:widowControl/>
        <w:spacing w:line="197" w:lineRule="auto" w:before="3990" w:after="0"/>
        <w:ind w:left="0" w:right="2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1906" w:h="16838"/>
          <w:pgMar w:top="362" w:right="1364" w:bottom="490" w:left="1440" w:header="720" w:footer="720" w:gutter="0"/>
          <w:cols w:space="720" w:num="1" w:equalWidth="0">
            <w:col w:w="9102" w:space="0"/>
            <w:col w:w="9918" w:space="0"/>
            <w:col w:w="10353" w:space="0"/>
            <w:col w:w="10362" w:space="0"/>
            <w:col w:w="10362" w:space="0"/>
            <w:col w:w="10246" w:space="0"/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FIRST SEMESTER </w:t>
      </w:r>
    </w:p>
    <w:p>
      <w:pPr>
        <w:autoSpaceDN w:val="0"/>
        <w:autoSpaceDE w:val="0"/>
        <w:widowControl/>
        <w:spacing w:line="230" w:lineRule="auto" w:before="280" w:after="0"/>
        <w:ind w:left="27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References: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356" w:after="0"/>
        <w:ind w:left="36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Handbook of Quality Assurance for the analytical chemistry laboratory, James P.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Dux, Van Nostrand Reinhold, 1986, New York. </w:t>
      </w:r>
    </w:p>
    <w:p>
      <w:pPr>
        <w:autoSpaceDN w:val="0"/>
        <w:autoSpaceDE w:val="0"/>
        <w:widowControl/>
        <w:spacing w:line="276" w:lineRule="exact" w:before="0" w:after="0"/>
        <w:ind w:left="720" w:right="288" w:hanging="36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Applying ISO-9000 Quality Management Systems, International Trade Centre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Publishing, UNCTAD/WTO. Geneva, Switzerland, Indian Edition Printed by D. L.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Shah Trust. </w:t>
      </w:r>
    </w:p>
    <w:p>
      <w:pPr>
        <w:autoSpaceDN w:val="0"/>
        <w:autoSpaceDE w:val="0"/>
        <w:widowControl/>
        <w:spacing w:line="266" w:lineRule="exact" w:before="1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How to practice GLP, PP Sharma, 2000, Vandana Publications, New Delhi.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Training Manuals on ISO 9000 / 2000 PQM, Girdhar J Gyani, 2001, Raj Publishing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House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Quality Assurance in Analytical Chemistry, B.W. Wenclawiak, 2004, Springer, India.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Separation Methods, M. N. Sastri,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1991, Himalaya Publishers.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2" w:after="0"/>
        <w:ind w:left="36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Analytical Chemistry, - Gary D. Christian,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John Wiley and sons. Inc.,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New York, 1994. </w:t>
      </w:r>
    </w:p>
    <w:p>
      <w:pPr>
        <w:autoSpaceDN w:val="0"/>
        <w:autoSpaceDE w:val="0"/>
        <w:widowControl/>
        <w:spacing w:line="266" w:lineRule="exact" w:before="1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Quality Assurance and Quality Management in Pharmaceutical Industry, Y. </w:t>
      </w:r>
    </w:p>
    <w:p>
      <w:pPr>
        <w:autoSpaceDN w:val="0"/>
        <w:autoSpaceDE w:val="0"/>
        <w:widowControl/>
        <w:spacing w:line="266" w:lineRule="exact" w:before="1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Anjaneyulu and R. Marayya, 2005, Pharma Book Syndicate.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Quality Assurance and Quality Control in the Analytical Chemical Laboratory, Piotr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Konieczka and Jacek Namiesnik, 2009, CRC Press.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Guide to ISO 9001: 2000, A. K. Chakraborty, P. K. Basu, S.C. Chakravarty, 2005,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Asian Books Pvt. Ltd.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Quality Assurance in Analytical Chemistry, B.W. Wenclawiak, M.Koch and E.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Hadjicostas, 2004, Springer. </w:t>
      </w:r>
    </w:p>
    <w:p>
      <w:pPr>
        <w:autoSpaceDN w:val="0"/>
        <w:autoSpaceDE w:val="0"/>
        <w:widowControl/>
        <w:spacing w:line="197" w:lineRule="auto" w:before="7494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1906" w:h="16838"/>
          <w:pgMar w:top="362" w:right="1368" w:bottom="490" w:left="1440" w:header="720" w:footer="720" w:gutter="0"/>
          <w:cols w:space="720" w:num="1" w:equalWidth="0">
            <w:col w:w="9098" w:space="0"/>
            <w:col w:w="9102" w:space="0"/>
            <w:col w:w="9918" w:space="0"/>
            <w:col w:w="10353" w:space="0"/>
            <w:col w:w="10362" w:space="0"/>
            <w:col w:w="10362" w:space="0"/>
            <w:col w:w="10246" w:space="0"/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1022"/>
        <w:ind w:left="1728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FIRST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271"/>
        <w:gridCol w:w="3271"/>
        <w:gridCol w:w="3271"/>
      </w:tblGrid>
      <w:tr>
        <w:trPr>
          <w:trHeight w:hRule="exact" w:val="288"/>
        </w:trPr>
        <w:tc>
          <w:tcPr>
            <w:tcW w:type="dxa" w:w="5246"/>
            <w:gridSpan w:val="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M.Sc. Organic Chemistry </w:t>
            </w:r>
          </w:p>
        </w:tc>
        <w:tc>
          <w:tcPr>
            <w:tcW w:type="dxa" w:w="453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Type: Theory </w:t>
            </w:r>
          </w:p>
        </w:tc>
      </w:tr>
      <w:tr>
        <w:trPr>
          <w:trHeight w:hRule="exact" w:val="284"/>
        </w:trPr>
        <w:tc>
          <w:tcPr>
            <w:tcW w:type="dxa" w:w="5246"/>
            <w:gridSpan w:val="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Semester: I </w:t>
            </w:r>
          </w:p>
        </w:tc>
        <w:tc>
          <w:tcPr>
            <w:tcW w:type="dxa" w:w="453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978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SEC I:   ADVANCED ANALYTICAL CHEMISTRY</w:t>
            </w:r>
          </w:p>
        </w:tc>
      </w:tr>
      <w:tr>
        <w:trPr>
          <w:trHeight w:hRule="exact" w:val="288"/>
        </w:trPr>
        <w:tc>
          <w:tcPr>
            <w:tcW w:type="dxa" w:w="4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Credit:  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04(T) + 02 (P)</w:t>
            </w:r>
          </w:p>
        </w:tc>
        <w:tc>
          <w:tcPr>
            <w:tcW w:type="dxa" w:w="489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4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112"/>
        </w:trPr>
        <w:tc>
          <w:tcPr>
            <w:tcW w:type="dxa" w:w="978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0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Paper proposes to teach about: Analytical chemistry basic principles and classical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theory, sampling methods, various volumetric analysis, gravimetric analysis and about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reliability of analytical data generated in a statistical manner.</w:t>
            </w:r>
          </w:p>
        </w:tc>
      </w:tr>
      <w:tr>
        <w:trPr>
          <w:trHeight w:hRule="exact" w:val="2598"/>
        </w:trPr>
        <w:tc>
          <w:tcPr>
            <w:tcW w:type="dxa" w:w="978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6" w:val="left"/>
                <w:tab w:pos="820" w:val="left"/>
              </w:tabs>
              <w:autoSpaceDE w:val="0"/>
              <w:widowControl/>
              <w:spacing w:line="290" w:lineRule="exact" w:before="0" w:after="0"/>
              <w:ind w:left="100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 the end of the course students will be able to... Learn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quantitative and qualitative aspects of analytical chemistry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Sampling techniques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Principle, method of gravimetric analysis and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Principle, method of volumetric analysis: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Acid-base titrations, precipitation titrations, redox titrations, complexometric titrations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Statistical methods to check the reliability of generated analytical data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Applications in various fields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466"/>
        <w:ind w:left="0" w:right="0"/>
      </w:pPr>
    </w:p>
    <w:p>
      <w:pPr>
        <w:sectPr>
          <w:pgSz w:w="11906" w:h="16838"/>
          <w:pgMar w:top="360" w:right="764" w:bottom="490" w:left="1328" w:header="720" w:footer="720" w:gutter="0"/>
          <w:cols w:space="720" w:num="1" w:equalWidth="0">
            <w:col w:w="9814" w:space="0"/>
            <w:col w:w="9098" w:space="0"/>
            <w:col w:w="9102" w:space="0"/>
            <w:col w:w="9918" w:space="0"/>
            <w:col w:w="10353" w:space="0"/>
            <w:col w:w="10362" w:space="0"/>
            <w:col w:w="10362" w:space="0"/>
            <w:col w:w="10246" w:space="0"/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340" w:lineRule="exact" w:before="0" w:after="0"/>
        <w:ind w:left="112" w:right="15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1 Introduction to Analytical Chemistry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Importance of Analytical Chemistry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Methods of Quantitative Analysis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Selection of method of Analysis </w:t>
      </w:r>
    </w:p>
    <w:p>
      <w:pPr>
        <w:sectPr>
          <w:type w:val="continuous"/>
          <w:pgSz w:w="11906" w:h="16838"/>
          <w:pgMar w:top="360" w:right="764" w:bottom="490" w:left="1328" w:header="720" w:footer="720" w:gutter="0"/>
          <w:cols w:space="720" w:num="2" w:equalWidth="0">
            <w:col w:w="6362" w:space="0"/>
            <w:col w:w="3452" w:space="0"/>
            <w:col w:w="9814" w:space="0"/>
            <w:col w:w="9098" w:space="0"/>
            <w:col w:w="9102" w:space="0"/>
            <w:col w:w="9918" w:space="0"/>
            <w:col w:w="10353" w:space="0"/>
            <w:col w:w="10362" w:space="0"/>
            <w:col w:w="10362" w:space="0"/>
            <w:col w:w="10246" w:space="0"/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1146"/>
        <w:ind w:left="0" w:right="620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(08 Hours) </w:t>
      </w:r>
    </w:p>
    <w:p>
      <w:pPr>
        <w:sectPr>
          <w:type w:val="nextColumn"/>
          <w:pgSz w:w="11906" w:h="16838"/>
          <w:pgMar w:top="360" w:right="764" w:bottom="490" w:left="1328" w:header="720" w:footer="720" w:gutter="0"/>
          <w:cols w:space="720" w:num="2" w:equalWidth="0">
            <w:col w:w="6362" w:space="0"/>
            <w:col w:w="3452" w:space="0"/>
            <w:col w:w="9814" w:space="0"/>
            <w:col w:w="9098" w:space="0"/>
            <w:col w:w="9102" w:space="0"/>
            <w:col w:w="9918" w:space="0"/>
            <w:col w:w="10353" w:space="0"/>
            <w:col w:w="10362" w:space="0"/>
            <w:col w:w="10362" w:space="0"/>
            <w:col w:w="10246" w:space="0"/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Chemical Analysis &amp; Analytical chemistry </w:t>
      </w:r>
    </w:p>
    <w:p>
      <w:pPr>
        <w:autoSpaceDN w:val="0"/>
        <w:autoSpaceDE w:val="0"/>
        <w:widowControl/>
        <w:spacing w:line="266" w:lineRule="exact" w:before="52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Quantitative Analysis &amp; scale of operation </w:t>
      </w:r>
    </w:p>
    <w:p>
      <w:pPr>
        <w:autoSpaceDN w:val="0"/>
        <w:autoSpaceDE w:val="0"/>
        <w:widowControl/>
        <w:spacing w:line="266" w:lineRule="exact" w:before="5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Various steps in Quantitative Analysis </w:t>
      </w:r>
    </w:p>
    <w:p>
      <w:pPr>
        <w:autoSpaceDN w:val="0"/>
        <w:autoSpaceDE w:val="0"/>
        <w:widowControl/>
        <w:spacing w:line="266" w:lineRule="exact" w:before="54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Methods of Analytical Determination </w:t>
      </w:r>
    </w:p>
    <w:p>
      <w:pPr>
        <w:autoSpaceDN w:val="0"/>
        <w:autoSpaceDE w:val="0"/>
        <w:widowControl/>
        <w:spacing w:line="266" w:lineRule="exact" w:before="5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The Role of Instrumentation </w:t>
      </w:r>
    </w:p>
    <w:p>
      <w:pPr>
        <w:autoSpaceDN w:val="0"/>
        <w:tabs>
          <w:tab w:pos="772" w:val="left"/>
        </w:tabs>
        <w:autoSpaceDE w:val="0"/>
        <w:widowControl/>
        <w:spacing w:line="276" w:lineRule="exact" w:before="40" w:after="0"/>
        <w:ind w:left="112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Application of Analytical Chemistry in Agriculture, Pharmaceuticals,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Medical Technology, Food &amp; Beverages, Other Fields </w:t>
      </w:r>
    </w:p>
    <w:p>
      <w:pPr>
        <w:autoSpaceDN w:val="0"/>
        <w:tabs>
          <w:tab w:pos="8034" w:val="left"/>
        </w:tabs>
        <w:autoSpaceDE w:val="0"/>
        <w:widowControl/>
        <w:spacing w:line="276" w:lineRule="exact" w:before="276" w:after="0"/>
        <w:ind w:left="112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2  Reliability of Analytical Data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(08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       Errors in Chemical Analysis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       Classification of Errors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       Determining the Accuracy of Methods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       Improving the Accuracy of analysis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2.5        Statistical Analysis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2.6        Rejection of Results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2.7        Presentation of Data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2.8        Confidence Limit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2.9        Q-Test for Rejection of Results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2.10      Standard ‘t’ Test </w:t>
      </w:r>
    </w:p>
    <w:p>
      <w:pPr>
        <w:autoSpaceDN w:val="0"/>
        <w:autoSpaceDE w:val="0"/>
        <w:widowControl/>
        <w:spacing w:line="197" w:lineRule="auto" w:before="694" w:after="0"/>
        <w:ind w:left="0" w:right="62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type w:val="continuous"/>
          <w:pgSz w:w="11906" w:h="16838"/>
          <w:pgMar w:top="360" w:right="764" w:bottom="490" w:left="1328" w:header="720" w:footer="720" w:gutter="0"/>
          <w:cols w:space="720" w:num="1" w:equalWidth="0">
            <w:col w:w="9814" w:space="0"/>
            <w:col w:w="6362" w:space="0"/>
            <w:col w:w="3452" w:space="0"/>
            <w:col w:w="9814" w:space="0"/>
            <w:col w:w="9098" w:space="0"/>
            <w:col w:w="9102" w:space="0"/>
            <w:col w:w="9918" w:space="0"/>
            <w:col w:w="10353" w:space="0"/>
            <w:col w:w="10362" w:space="0"/>
            <w:col w:w="10362" w:space="0"/>
            <w:col w:w="10246" w:space="0"/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</w:p>
    <w:p>
      <w:pPr>
        <w:autoSpaceDN w:val="0"/>
        <w:autoSpaceDE w:val="0"/>
        <w:widowControl/>
        <w:spacing w:line="354" w:lineRule="exact" w:before="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</w:p>
    <w:p>
      <w:pPr>
        <w:autoSpaceDN w:val="0"/>
        <w:autoSpaceDE w:val="0"/>
        <w:widowControl/>
        <w:spacing w:line="266" w:lineRule="exact" w:before="1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FIRST SEMESTER 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28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3  Sampling in Analysis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(06 Hours)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       Theory of sampling </w:t>
      </w:r>
    </w:p>
    <w:p>
      <w:pPr>
        <w:autoSpaceDN w:val="0"/>
        <w:autoSpaceDE w:val="0"/>
        <w:widowControl/>
        <w:spacing w:line="266" w:lineRule="exact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       Techniques of sampling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       Statistical Criteria of Good sampling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       Stratified Sampling versus Random Sampling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        Minimization of variance in stratified sampling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3.6        Transmission and storage of samples. 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4 Gravimetric Analysis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(08 Hours)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Precipitation methods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Purity of precipitation-co precipitation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Optimum conditions for precipitation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Precipitation from homogeneous solution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Washing of the precipitate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Ignition of the precipitate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Role organic precipitants in gravimetric analysis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Criteria for choice of an organic Reagent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Some Important organic precipitants 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5 Volumetric Analysis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(07 Hours)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Volumetric analysis in chemistry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of volumetric methods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Acid Base Titration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Acid Base indicators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Mixed indicator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Fluorescent indicators 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56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6  Redox Titrations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(07 Hours)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Theory of Redox Titration curves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Some Oxidizing Agents as Titrants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 of Iodine as Redox Reagent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Redox indicators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Detection of Endpoint in Redox Titrations. 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7  Precipitation Titration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(08 Hours)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Theory of Precipitation, Titration Curve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Factors Influencing solubility of the precipitate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Titration by Turbidity without an indicator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Volhard’s Method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Mohr’s Method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Adsorption Indicators in Precipitation Titration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Miscellaneous Indicators for titrations 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8 Complexometric EDTA Titrations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(08 Hours)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Complexometric EDTA Titrations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Complexometric Titration curves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Metallochromic Indicators </w:t>
      </w:r>
    </w:p>
    <w:p>
      <w:pPr>
        <w:autoSpaceDN w:val="0"/>
        <w:autoSpaceDE w:val="0"/>
        <w:widowControl/>
        <w:spacing w:line="197" w:lineRule="auto" w:before="402" w:after="0"/>
        <w:ind w:left="0" w:right="2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1906" w:h="16838"/>
          <w:pgMar w:top="362" w:right="1364" w:bottom="490" w:left="1440" w:header="720" w:footer="720" w:gutter="0"/>
          <w:cols w:space="720" w:num="1" w:equalWidth="0">
            <w:col w:w="9102" w:space="0"/>
            <w:col w:w="9814" w:space="0"/>
            <w:col w:w="6362" w:space="0"/>
            <w:col w:w="3452" w:space="0"/>
            <w:col w:w="9814" w:space="0"/>
            <w:col w:w="9098" w:space="0"/>
            <w:col w:w="9102" w:space="0"/>
            <w:col w:w="9918" w:space="0"/>
            <w:col w:w="10353" w:space="0"/>
            <w:col w:w="10362" w:space="0"/>
            <w:col w:w="10362" w:space="0"/>
            <w:col w:w="10246" w:space="0"/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728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FIRST SEMESTER </w:t>
      </w:r>
    </w:p>
    <w:p>
      <w:pPr>
        <w:autoSpaceDN w:val="0"/>
        <w:tabs>
          <w:tab w:pos="748" w:val="left"/>
        </w:tabs>
        <w:autoSpaceDE w:val="0"/>
        <w:widowControl/>
        <w:spacing w:line="274" w:lineRule="exact" w:before="272" w:after="0"/>
        <w:ind w:left="28" w:right="41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Selectivity in Complexometric Titrations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Typical EDTA Titrations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Advantages of Complexometric Titrations </w:t>
      </w:r>
    </w:p>
    <w:p>
      <w:pPr>
        <w:autoSpaceDN w:val="0"/>
        <w:autoSpaceDE w:val="0"/>
        <w:widowControl/>
        <w:spacing w:line="230" w:lineRule="auto" w:before="562" w:after="0"/>
        <w:ind w:left="38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References: </w:t>
      </w:r>
    </w:p>
    <w:p>
      <w:pPr>
        <w:autoSpaceDN w:val="0"/>
        <w:autoSpaceDE w:val="0"/>
        <w:widowControl/>
        <w:spacing w:line="276" w:lineRule="exact" w:before="300" w:after="0"/>
        <w:ind w:left="748" w:right="288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Chemistry for Environmental Engineering and Science, C. N. Sawyer and P. L. Mc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Carty, G.F. Parkin, 5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Reprint, 2015, Mc Graw Hill Education (India)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Private Limited. </w:t>
      </w:r>
    </w:p>
    <w:p>
      <w:pPr>
        <w:autoSpaceDN w:val="0"/>
        <w:autoSpaceDE w:val="0"/>
        <w:widowControl/>
        <w:spacing w:line="286" w:lineRule="exact" w:before="0" w:after="0"/>
        <w:ind w:left="3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Quantitative Analysis, R.A Day, A. L. Underwood,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1991, Prentice-Hall. </w:t>
      </w:r>
    </w:p>
    <w:p>
      <w:pPr>
        <w:autoSpaceDN w:val="0"/>
        <w:autoSpaceDE w:val="0"/>
        <w:widowControl/>
        <w:spacing w:line="276" w:lineRule="exact" w:before="278" w:after="0"/>
        <w:ind w:left="748" w:right="72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 Methods for Examination of Water &amp; Wastewater, Andrew D. Eaton,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Lenore S. Clesceri, Eugene W. Rice, Arnold Greenberg, 23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2017,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published by APHA, </w:t>
      </w:r>
      <w:r>
        <w:rPr>
          <w:rFonts w:ascii="TimesNewRomanPSMT" w:hAnsi="TimesNewRomanPSMT" w:eastAsia="TimesNewRomanPSMT"/>
          <w:b w:val="0"/>
          <w:i w:val="0"/>
          <w:color w:val="231F20"/>
          <w:sz w:val="24"/>
        </w:rPr>
        <w:t>AWWA, WEF.</w:t>
      </w:r>
    </w:p>
    <w:p>
      <w:pPr>
        <w:autoSpaceDN w:val="0"/>
        <w:autoSpaceDE w:val="0"/>
        <w:widowControl/>
        <w:spacing w:line="276" w:lineRule="exact" w:before="158" w:after="0"/>
        <w:ind w:left="748" w:right="576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Official Methods of Analysis, Dr. William Harwitz, Dr. George W Latimer,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2005, published by Association of Officiating Analytical Chemists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(AOAC). 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160" w:after="0"/>
        <w:ind w:left="38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Fundamentals of Analytical Chemistry, D.A. Skoog, D.M. West, F.J. Holler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S.R. Crouch, 9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Reprint 2014, Cengage Learning. 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158" w:after="0"/>
        <w:ind w:left="268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6. Basic Concepts of Analytical Chemistry, S.M. Khopkar, 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2009,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New Age International Private Limited. </w:t>
      </w:r>
    </w:p>
    <w:p>
      <w:pPr>
        <w:autoSpaceDN w:val="0"/>
        <w:autoSpaceDE w:val="0"/>
        <w:widowControl/>
        <w:spacing w:line="197" w:lineRule="auto" w:before="7078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1906" w:h="16838"/>
          <w:pgMar w:top="360" w:right="1368" w:bottom="490" w:left="1412" w:header="720" w:footer="720" w:gutter="0"/>
          <w:cols w:space="720" w:num="1" w:equalWidth="0">
            <w:col w:w="9126" w:space="0"/>
            <w:col w:w="9102" w:space="0"/>
            <w:col w:w="9814" w:space="0"/>
            <w:col w:w="6362" w:space="0"/>
            <w:col w:w="3452" w:space="0"/>
            <w:col w:w="9814" w:space="0"/>
            <w:col w:w="9098" w:space="0"/>
            <w:col w:w="9102" w:space="0"/>
            <w:col w:w="9918" w:space="0"/>
            <w:col w:w="10353" w:space="0"/>
            <w:col w:w="10362" w:space="0"/>
            <w:col w:w="10362" w:space="0"/>
            <w:col w:w="10246" w:space="0"/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728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FIRST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06"/>
        <w:gridCol w:w="3306"/>
        <w:gridCol w:w="3306"/>
      </w:tblGrid>
      <w:tr>
        <w:trPr>
          <w:trHeight w:hRule="exact" w:val="286"/>
        </w:trPr>
        <w:tc>
          <w:tcPr>
            <w:tcW w:type="dxa" w:w="5246"/>
            <w:gridSpan w:val="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M.Sc. Organic Chemistry </w:t>
            </w:r>
          </w:p>
        </w:tc>
        <w:tc>
          <w:tcPr>
            <w:tcW w:type="dxa" w:w="464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</w:t>
            </w:r>
          </w:p>
        </w:tc>
      </w:tr>
      <w:tr>
        <w:trPr>
          <w:trHeight w:hRule="exact" w:val="384"/>
        </w:trPr>
        <w:tc>
          <w:tcPr>
            <w:tcW w:type="dxa" w:w="5246"/>
            <w:gridSpan w:val="2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Semester: I </w:t>
            </w:r>
          </w:p>
        </w:tc>
        <w:tc>
          <w:tcPr>
            <w:tcW w:type="dxa" w:w="464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9888"/>
            <w:gridSpan w:val="3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DSE-I: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Food Chemistry</w:t>
            </w:r>
          </w:p>
        </w:tc>
      </w:tr>
      <w:tr>
        <w:trPr>
          <w:trHeight w:hRule="exact" w:val="284"/>
        </w:trPr>
        <w:tc>
          <w:tcPr>
            <w:tcW w:type="dxa" w:w="4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04(T) + 02 (P)</w:t>
            </w:r>
          </w:p>
        </w:tc>
        <w:tc>
          <w:tcPr>
            <w:tcW w:type="dxa" w:w="499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4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392"/>
        </w:trPr>
        <w:tc>
          <w:tcPr>
            <w:tcW w:type="dxa" w:w="988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This course presents concise and relevant information on the composition of foods and the reactions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they undergo during processing and storage.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course will deal with the chemistry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principal components of foods, their properties and interactions. This will provide basic 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regarding the food analysis also. </w:t>
            </w:r>
          </w:p>
        </w:tc>
      </w:tr>
      <w:tr>
        <w:trPr>
          <w:trHeight w:hRule="exact" w:val="2614"/>
        </w:trPr>
        <w:tc>
          <w:tcPr>
            <w:tcW w:type="dxa" w:w="988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82" w:lineRule="exact" w:before="0" w:after="0"/>
              <w:ind w:left="100" w:right="259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 the end of the course students will be able to: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72833"/>
                <w:sz w:val="24"/>
              </w:rPr>
              <w:t>Explain the importance of water for stability and quality of foods.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20" w:right="72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Understand the relationship between nutrition and human well being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Know the major and minor components of foods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Know composition and properties of food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Explain the basic structures of food constituents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 the basic chemical reaction food constituents undergo during processing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Identify additives added to foods for different purposes </w:t>
            </w:r>
          </w:p>
        </w:tc>
      </w:tr>
    </w:tbl>
    <w:p>
      <w:pPr>
        <w:autoSpaceDN w:val="0"/>
        <w:tabs>
          <w:tab w:pos="832" w:val="left"/>
        </w:tabs>
        <w:autoSpaceDE w:val="0"/>
        <w:widowControl/>
        <w:spacing w:line="276" w:lineRule="exact" w:before="278" w:after="0"/>
        <w:ind w:left="112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1 Water in Food                                                                                                   (06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Moisture in foods, definition of water in food, Water as a nutrient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 of water and their specific function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Sorption phenomenon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Water activity and food stability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Water activity and packaging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Water activity and spoilage </w:t>
      </w:r>
    </w:p>
    <w:p>
      <w:pPr>
        <w:autoSpaceDN w:val="0"/>
        <w:tabs>
          <w:tab w:pos="832" w:val="left"/>
        </w:tabs>
        <w:autoSpaceDE w:val="0"/>
        <w:widowControl/>
        <w:spacing w:line="276" w:lineRule="exact" w:before="448" w:after="0"/>
        <w:ind w:left="112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2 Carbohydrates                                                                                                  (10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Definition, classification and physical properties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Nutritive roles of carbohydrate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Sweetness of sugars, relation of structure to sweetness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Important carbohydrates in food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(glucose, sucrose, starch, agar, glycogen, cellulose, pectin, gums and resins)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Carbohydrates: digestion, absorption, metabolism (glycolysis, citric acid cycle,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glycogenesis, Glycogenolysis, Gluconeogenesis, hexose monophosphate pathway)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Retro gradation and staling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2.7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Modified celluloses and starches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Pectic substances and dietary fibre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Nonenzymatic browning and Mailard reaction </w:t>
      </w:r>
    </w:p>
    <w:p>
      <w:pPr>
        <w:autoSpaceDN w:val="0"/>
        <w:tabs>
          <w:tab w:pos="832" w:val="left"/>
          <w:tab w:pos="1116" w:val="left"/>
        </w:tabs>
        <w:autoSpaceDE w:val="0"/>
        <w:widowControl/>
        <w:spacing w:line="276" w:lineRule="exact" w:before="278" w:after="0"/>
        <w:ind w:left="112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3 Lipids                                                                                                                 (08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Characteristics and classification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Physical properties-melting point, softening point, specific gravity,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refractive index, smoke, flash and fire point, turbidity point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Chemical properties- reichert meissel value, polenske value, iodine  value,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peroxide value, saponification value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 of frying on fats </w:t>
      </w:r>
    </w:p>
    <w:p>
      <w:pPr>
        <w:autoSpaceDN w:val="0"/>
        <w:autoSpaceDE w:val="0"/>
        <w:widowControl/>
        <w:spacing w:line="197" w:lineRule="auto" w:before="494" w:after="0"/>
        <w:ind w:left="0" w:right="72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1906" w:h="16838"/>
          <w:pgMar w:top="360" w:right="660" w:bottom="490" w:left="1328" w:header="720" w:footer="720" w:gutter="0"/>
          <w:cols w:space="720" w:num="1" w:equalWidth="0">
            <w:col w:w="9918" w:space="0"/>
            <w:col w:w="9126" w:space="0"/>
            <w:col w:w="9102" w:space="0"/>
            <w:col w:w="9814" w:space="0"/>
            <w:col w:w="6362" w:space="0"/>
            <w:col w:w="3452" w:space="0"/>
            <w:col w:w="9814" w:space="0"/>
            <w:col w:w="9098" w:space="0"/>
            <w:col w:w="9102" w:space="0"/>
            <w:col w:w="9918" w:space="0"/>
            <w:col w:w="10353" w:space="0"/>
            <w:col w:w="10362" w:space="0"/>
            <w:col w:w="10362" w:space="0"/>
            <w:col w:w="10246" w:space="0"/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FIRST SEMESTER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Changes in fats and oils- rancidity, lipolysis, flavor reversion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Auto-oxidation, factor affecting rate of oxidation and its prevention,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Methods of measuring lipid oxidation- solid fat index, peroxide value, thiobarbituric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acid test, anisidine value, Kreis test, oxirane test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Technology of edible fats and oils- Refining, Hydrogenation and Interesterification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4 Proteins                                                                                                              (08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Protein classification and structure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Nature of food proteins (plant and animal proteins)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Denaturation of protein and its implications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Functional properties of proteins (organoleptic, solubility, viscosity, binding gelation/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texturization , emulsification , foaming)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Supplementary value of food proteins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Modification of food protein in processing and storage and its implications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Reaction of protein in food (Reaction with lipids, sulphites enzymatic hydrolysis,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plastein reaction) </w:t>
      </w:r>
    </w:p>
    <w:p>
      <w:pPr>
        <w:autoSpaceDN w:val="0"/>
        <w:autoSpaceDE w:val="0"/>
        <w:widowControl/>
        <w:spacing w:line="230" w:lineRule="auto" w:before="48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5 Minerals                                                                                                             (04 Hrs)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Mineral functions, sources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2" w:after="0"/>
        <w:ind w:left="0" w:right="37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Solubility and bioavailability of minerals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Nutritional aspects of minerals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Fortification: Iron sources used in fortification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6 Vitamin                                                                                                              (06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Classification, stability, toxicity and sources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Distribution in foods, loss during processing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Mechanism of degradation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Functions and deficiency diseases caused by following vitamins: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6.4.1 Fats soluble vitamins – Vitamin A, D, E and 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6.4.2 Water soluble vitamins – Vitamin C and B-complex </w:t>
      </w:r>
    </w:p>
    <w:p>
      <w:pPr>
        <w:autoSpaceDN w:val="0"/>
        <w:autoSpaceDE w:val="0"/>
        <w:widowControl/>
        <w:spacing w:line="230" w:lineRule="auto" w:before="46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7  Food additives                                                                                                   (08 Hrs)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0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Definition, need and classification of food additives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Permitted food additives and their role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7.2.1  Preservatives-Natural and Artificial (Class-I and class-II preservatives)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7.2.2  Antioxidants, Chelating agents, Colouring agents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7.2.3  Curing agents, Emulsions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7.2.4  Flavors and flavor enhancers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7.2.5  Non-nutritive sweeteners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7.2.6  pH control agents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7.2.7  Stabilizer and thickeners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7.2.8  Humectants, Anti-caking agents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7.2.9 Firming agent, Clarifying agent, Flour bleaching agents </w:t>
      </w:r>
    </w:p>
    <w:p>
      <w:pPr>
        <w:autoSpaceDN w:val="0"/>
        <w:autoSpaceDE w:val="0"/>
        <w:widowControl/>
        <w:spacing w:line="197" w:lineRule="auto" w:before="1342" w:after="0"/>
        <w:ind w:left="0" w:right="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1906" w:h="16838"/>
          <w:pgMar w:top="362" w:right="1358" w:bottom="490" w:left="1440" w:header="720" w:footer="720" w:gutter="0"/>
          <w:cols w:space="720" w:num="1" w:equalWidth="0">
            <w:col w:w="9108" w:space="0"/>
            <w:col w:w="9918" w:space="0"/>
            <w:col w:w="9126" w:space="0"/>
            <w:col w:w="9102" w:space="0"/>
            <w:col w:w="9814" w:space="0"/>
            <w:col w:w="6362" w:space="0"/>
            <w:col w:w="3452" w:space="0"/>
            <w:col w:w="9814" w:space="0"/>
            <w:col w:w="9098" w:space="0"/>
            <w:col w:w="9102" w:space="0"/>
            <w:col w:w="9918" w:space="0"/>
            <w:col w:w="10353" w:space="0"/>
            <w:col w:w="10362" w:space="0"/>
            <w:col w:w="10362" w:space="0"/>
            <w:col w:w="10246" w:space="0"/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728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FIRST SEMESTER 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270" w:after="4"/>
        <w:ind w:left="2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8  Food Analysis                                                                                                   (10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 of Chemical Additives in foods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8.1.1  Division of colour additives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8.1.2  Chromatographic identification of colours, quantitative estimation of added dyes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foods (Titanium Trichloride Method)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Chemical preservatives and synthetic sweetening agents (Organic-ether extractable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non- ether extractable)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8.2.1  Analysis of SO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&amp; Sodium Benzoate (Chemical Methods),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Sorbic Acid (Chromatography)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 of Antioxidants used in Foods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8.3.1  Analysis of Butylated Hydroxy Toluene (BHT) (Spectrophotometry)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568"/>
        <w:gridCol w:w="4568"/>
      </w:tblGrid>
      <w:tr>
        <w:trPr>
          <w:trHeight w:hRule="exact" w:val="88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0" w:right="18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8.6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80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Moisture analysis in food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Common adulterants in food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Pesticide analysis of food products </w:t>
            </w:r>
          </w:p>
        </w:tc>
      </w:tr>
    </w:tbl>
    <w:p>
      <w:pPr>
        <w:autoSpaceDN w:val="0"/>
        <w:autoSpaceDE w:val="0"/>
        <w:widowControl/>
        <w:spacing w:line="230" w:lineRule="auto" w:before="862" w:after="0"/>
        <w:ind w:left="2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Reference: </w:t>
      </w:r>
    </w:p>
    <w:p>
      <w:pPr>
        <w:autoSpaceDN w:val="0"/>
        <w:autoSpaceDE w:val="0"/>
        <w:widowControl/>
        <w:spacing w:line="268" w:lineRule="exact" w:before="19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Fennema's food chemistry, Damodaran, S., Parkin, K. L., &amp; Fennema, O. R., 2007, CRC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48" w:after="0"/>
        <w:ind w:left="3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press.</w:t>
      </w:r>
    </w:p>
    <w:p>
      <w:pPr>
        <w:autoSpaceDN w:val="0"/>
        <w:autoSpaceDE w:val="0"/>
        <w:widowControl/>
        <w:spacing w:line="270" w:lineRule="exact" w:before="54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Food science, Potter, N. N., &amp; Hotchkiss, J. H., 2012, Springer Science &amp; Business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46" w:after="0"/>
        <w:ind w:left="3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Media.</w:t>
      </w:r>
    </w:p>
    <w:p>
      <w:pPr>
        <w:autoSpaceDN w:val="0"/>
        <w:autoSpaceDE w:val="0"/>
        <w:widowControl/>
        <w:spacing w:line="268" w:lineRule="exact" w:before="5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3.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Principles of food chemistry, DeMan, J. M., Finley, J. W., Hurst, W. J., &amp; Lee, C. Y.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48" w:after="0"/>
        <w:ind w:left="3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2018, Springer.</w:t>
      </w:r>
    </w:p>
    <w:p>
      <w:pPr>
        <w:autoSpaceDN w:val="0"/>
        <w:autoSpaceDE w:val="0"/>
        <w:widowControl/>
        <w:spacing w:line="270" w:lineRule="exact" w:before="54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Food chemistry, 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Aurand, L. W., Woods, A. E., &amp; Wells, M. R., 1987, Springer,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46" w:after="0"/>
        <w:ind w:left="3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Dordrecht.</w:t>
      </w:r>
    </w:p>
    <w:p>
      <w:pPr>
        <w:autoSpaceDN w:val="0"/>
        <w:autoSpaceDE w:val="0"/>
        <w:widowControl/>
        <w:spacing w:line="268" w:lineRule="exact" w:before="52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5.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Food Chemistry, Meyer, L. H., 1982, AVI Publising Company.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</w:t>
      </w:r>
    </w:p>
    <w:p>
      <w:pPr>
        <w:autoSpaceDN w:val="0"/>
        <w:autoSpaceDE w:val="0"/>
        <w:widowControl/>
        <w:spacing w:line="270" w:lineRule="exact" w:before="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Foods facts and principles, N. Shakuntala Manay, M. Shdakshara Swamy, 2008, New age </w:t>
      </w:r>
    </w:p>
    <w:p>
      <w:pPr>
        <w:autoSpaceDN w:val="0"/>
        <w:autoSpaceDE w:val="0"/>
        <w:widowControl/>
        <w:spacing w:line="266" w:lineRule="exact" w:before="50" w:after="0"/>
        <w:ind w:left="3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International Publisher, New Delhi. </w:t>
      </w:r>
    </w:p>
    <w:p>
      <w:pPr>
        <w:autoSpaceDN w:val="0"/>
        <w:autoSpaceDE w:val="0"/>
        <w:widowControl/>
        <w:spacing w:line="270" w:lineRule="exact" w:before="5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>7.</w:t>
      </w:r>
      <w:r>
        <w:rPr>
          <w:rFonts w:ascii="TimesNewRomanPSMT" w:hAnsi="TimesNewRomanPSMT" w:eastAsia="TimesNewRomanPSMT"/>
          <w:b w:val="0"/>
          <w:i w:val="0"/>
          <w:color w:val="212121"/>
          <w:sz w:val="24"/>
        </w:rPr>
        <w:t>Introduction to Chemical Analysis of Foods,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S. Suzanna &amp; Nielsen, CBS Publishers &amp; </w:t>
      </w:r>
    </w:p>
    <w:p>
      <w:pPr>
        <w:autoSpaceDN w:val="0"/>
        <w:autoSpaceDE w:val="0"/>
        <w:widowControl/>
        <w:spacing w:line="264" w:lineRule="exact" w:before="48" w:after="0"/>
        <w:ind w:left="3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Distributor.</w:t>
      </w:r>
    </w:p>
    <w:p>
      <w:pPr>
        <w:autoSpaceDN w:val="0"/>
        <w:autoSpaceDE w:val="0"/>
        <w:widowControl/>
        <w:spacing w:line="268" w:lineRule="exact" w:before="52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>8.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Food chemistry, Belitz, H. D., Grosch, W., &amp; Schieberle, P., 2004, Springer, Berlin,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48" w:after="0"/>
        <w:ind w:left="3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Heidelberg.</w:t>
      </w:r>
    </w:p>
    <w:p>
      <w:pPr>
        <w:autoSpaceDN w:val="0"/>
        <w:autoSpaceDE w:val="0"/>
        <w:widowControl/>
        <w:spacing w:line="197" w:lineRule="auto" w:before="3698" w:after="0"/>
        <w:ind w:left="0" w:right="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1906" w:h="16838"/>
          <w:pgMar w:top="360" w:right="1358" w:bottom="490" w:left="1412" w:header="720" w:footer="720" w:gutter="0"/>
          <w:cols w:space="720" w:num="1" w:equalWidth="0">
            <w:col w:w="9136" w:space="0"/>
            <w:col w:w="9108" w:space="0"/>
            <w:col w:w="9918" w:space="0"/>
            <w:col w:w="9126" w:space="0"/>
            <w:col w:w="9102" w:space="0"/>
            <w:col w:w="9814" w:space="0"/>
            <w:col w:w="6362" w:space="0"/>
            <w:col w:w="3452" w:space="0"/>
            <w:col w:w="9814" w:space="0"/>
            <w:col w:w="9098" w:space="0"/>
            <w:col w:w="9102" w:space="0"/>
            <w:col w:w="9918" w:space="0"/>
            <w:col w:w="10353" w:space="0"/>
            <w:col w:w="10362" w:space="0"/>
            <w:col w:w="10362" w:space="0"/>
            <w:col w:w="10246" w:space="0"/>
            <w:col w:w="109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259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FIRST SEMESTER </w:t>
      </w:r>
    </w:p>
    <w:p>
      <w:pPr>
        <w:autoSpaceDN w:val="0"/>
        <w:autoSpaceDE w:val="0"/>
        <w:widowControl/>
        <w:spacing w:line="230" w:lineRule="auto" w:before="280" w:after="0"/>
        <w:ind w:left="0" w:right="436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Laboratory Practical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6" w:lineRule="exact" w:before="160" w:after="0"/>
        <w:ind w:left="576" w:right="316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pH, Turbidity and TDS of water sample.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D.O. and Conductivity of water sample. </w:t>
      </w:r>
    </w:p>
    <w:p>
      <w:pPr>
        <w:autoSpaceDN w:val="0"/>
        <w:autoSpaceDE w:val="0"/>
        <w:widowControl/>
        <w:spacing w:line="266" w:lineRule="exact" w:before="32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 of p-Nitro Chloro benzene from Acetanilide. </w:t>
      </w:r>
    </w:p>
    <w:p>
      <w:pPr>
        <w:autoSpaceDN w:val="0"/>
        <w:autoSpaceDE w:val="0"/>
        <w:widowControl/>
        <w:spacing w:line="266" w:lineRule="exact" w:before="34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 of Eosin from Phthalic Acid. </w:t>
      </w:r>
    </w:p>
    <w:p>
      <w:pPr>
        <w:autoSpaceDN w:val="0"/>
        <w:autoSpaceDE w:val="0"/>
        <w:widowControl/>
        <w:spacing w:line="276" w:lineRule="exact" w:before="22" w:after="0"/>
        <w:ind w:left="708" w:right="51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synthesis of Paracetamol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synthesis of 6 - methyluracil. </w:t>
      </w:r>
    </w:p>
    <w:p>
      <w:pPr>
        <w:autoSpaceDN w:val="0"/>
        <w:autoSpaceDE w:val="0"/>
        <w:widowControl/>
        <w:spacing w:line="266" w:lineRule="exact" w:before="1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synthesis of Acridone. </w:t>
      </w:r>
    </w:p>
    <w:p>
      <w:pPr>
        <w:autoSpaceDN w:val="0"/>
        <w:autoSpaceDE w:val="0"/>
        <w:widowControl/>
        <w:spacing w:line="266" w:lineRule="exact" w:before="1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synthesis of Methyl Orange. </w:t>
      </w:r>
    </w:p>
    <w:p>
      <w:pPr>
        <w:autoSpaceDN w:val="0"/>
        <w:autoSpaceDE w:val="0"/>
        <w:widowControl/>
        <w:spacing w:line="286" w:lineRule="exact" w:before="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Determination of Zn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+2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/ Cu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+2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by Complexometric titration. </w:t>
      </w:r>
    </w:p>
    <w:p>
      <w:pPr>
        <w:autoSpaceDN w:val="0"/>
        <w:autoSpaceDE w:val="0"/>
        <w:widowControl/>
        <w:spacing w:line="268" w:lineRule="exact" w:before="1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Gravimetric estimation of Ni as Ni (Dimethyl Glyoxime)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/Ba as BaSO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66" w:lineRule="exact" w:before="8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COD of water sample by redox titration. </w:t>
      </w:r>
    </w:p>
    <w:p>
      <w:pPr>
        <w:autoSpaceDN w:val="0"/>
        <w:tabs>
          <w:tab w:pos="986" w:val="left"/>
        </w:tabs>
        <w:autoSpaceDE w:val="0"/>
        <w:widowControl/>
        <w:spacing w:line="276" w:lineRule="exact" w:before="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 of fats/oils – Any two of the following: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Acid value, Iodine number, Reichert Meissel number and Saponification value of                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fats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Determination of riboflavin from curry leaves (fluorimetric method).</w:t>
      </w:r>
    </w:p>
    <w:p>
      <w:pPr>
        <w:autoSpaceDN w:val="0"/>
        <w:autoSpaceDE w:val="0"/>
        <w:widowControl/>
        <w:spacing w:line="266" w:lineRule="exact" w:before="1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Determination of salt content in commercial table butter.</w:t>
      </w:r>
    </w:p>
    <w:p>
      <w:pPr>
        <w:autoSpaceDN w:val="0"/>
        <w:autoSpaceDE w:val="0"/>
        <w:widowControl/>
        <w:spacing w:line="266" w:lineRule="exact" w:before="1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Determination of Moisture in food sample.</w:t>
      </w:r>
    </w:p>
    <w:p>
      <w:pPr>
        <w:autoSpaceDN w:val="0"/>
        <w:autoSpaceDE w:val="0"/>
        <w:widowControl/>
        <w:spacing w:line="230" w:lineRule="auto" w:before="926" w:after="0"/>
        <w:ind w:left="70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References: </w:t>
      </w:r>
    </w:p>
    <w:p>
      <w:pPr>
        <w:autoSpaceDN w:val="0"/>
        <w:autoSpaceDE w:val="0"/>
        <w:widowControl/>
        <w:spacing w:line="276" w:lineRule="exact" w:before="184" w:after="0"/>
        <w:ind w:left="720" w:right="86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 Methods for Examination of Water &amp; Wastewater, Andrew D. Eaton,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Lenore S. Clesceri, Eugene W. Rice, Arnold Greenberg, 23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2017, published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APHA, AWWA, WEF. </w:t>
      </w:r>
    </w:p>
    <w:p>
      <w:pPr>
        <w:autoSpaceDN w:val="0"/>
        <w:autoSpaceDE w:val="0"/>
        <w:widowControl/>
        <w:spacing w:line="276" w:lineRule="exact" w:before="0" w:after="0"/>
        <w:ind w:left="720" w:right="144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Official Methods of Analysis, Dr. William Harwitz, Dr. George W Latimer,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2005, published by Association of Officiating Analytical Chemists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(AOAC).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Analytical Techniques in Agriculture, Biotechnology and Environmental Engineerin;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A. Nag;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2006, Prentice Hall of India.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Laboratory Manual in Biochemistry – J. Jayaraman, 2011, New Age Publication.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Manual of analysis of fruits and vegetable products, Central food technological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 institute, Mysore, S. Ranganna, 1977, Tata McGraw Hill publishing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company Ltd, New Delhi. </w:t>
      </w:r>
    </w:p>
    <w:p>
      <w:pPr>
        <w:autoSpaceDN w:val="0"/>
        <w:autoSpaceDE w:val="0"/>
        <w:widowControl/>
        <w:spacing w:line="286" w:lineRule="exact" w:before="0" w:after="16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Biochemical Methods, S. Sadasivam, and A. Manikam, 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1996, New Age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52"/>
        <w:gridCol w:w="1252"/>
        <w:gridCol w:w="1252"/>
        <w:gridCol w:w="1252"/>
        <w:gridCol w:w="1252"/>
        <w:gridCol w:w="1252"/>
        <w:gridCol w:w="1252"/>
        <w:gridCol w:w="1252"/>
      </w:tblGrid>
      <w:tr>
        <w:trPr>
          <w:trHeight w:hRule="exact" w:val="29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International(p)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Ltd.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Publishers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Tamil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Nadu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Agricultural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University </w:t>
            </w:r>
          </w:p>
        </w:tc>
      </w:tr>
    </w:tbl>
    <w:p>
      <w:pPr>
        <w:autoSpaceDN w:val="0"/>
        <w:autoSpaceDE w:val="0"/>
        <w:widowControl/>
        <w:spacing w:line="264" w:lineRule="exact" w:before="1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(Coimbatore). </w:t>
      </w:r>
    </w:p>
    <w:p>
      <w:pPr>
        <w:autoSpaceDN w:val="0"/>
        <w:autoSpaceDE w:val="0"/>
        <w:widowControl/>
        <w:spacing w:line="266" w:lineRule="exact" w:before="32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Laboratory techniques in food analysis, D. Pearson, 1973, John Wiley &amp; Sons, New </w:t>
      </w:r>
    </w:p>
    <w:p>
      <w:pPr>
        <w:autoSpaceDN w:val="0"/>
        <w:autoSpaceDE w:val="0"/>
        <w:widowControl/>
        <w:spacing w:line="266" w:lineRule="exact" w:before="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York.</w:t>
      </w:r>
    </w:p>
    <w:p>
      <w:pPr>
        <w:autoSpaceDN w:val="0"/>
        <w:autoSpaceDE w:val="0"/>
        <w:widowControl/>
        <w:spacing w:line="288" w:lineRule="exact" w:before="17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Analytical Chemistry, H. Kaur,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2013, Pragati Prakashan. </w:t>
      </w:r>
    </w:p>
    <w:p>
      <w:pPr>
        <w:autoSpaceDN w:val="0"/>
        <w:autoSpaceDE w:val="0"/>
        <w:widowControl/>
        <w:spacing w:line="197" w:lineRule="auto" w:before="1800" w:after="0"/>
        <w:ind w:left="0" w:right="94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sectPr w:rsidR="00FC693F" w:rsidRPr="0006063C" w:rsidSect="00034616">
      <w:pgSz w:w="11906" w:h="16838"/>
      <w:pgMar w:top="360" w:right="446" w:bottom="490" w:left="1440" w:header="720" w:footer="720" w:gutter="0"/>
      <w:cols w:space="720" w:num="1" w:equalWidth="0">
        <w:col w:w="10020" w:space="0"/>
        <w:col w:w="9136" w:space="0"/>
        <w:col w:w="9108" w:space="0"/>
        <w:col w:w="9918" w:space="0"/>
        <w:col w:w="9126" w:space="0"/>
        <w:col w:w="9102" w:space="0"/>
        <w:col w:w="9814" w:space="0"/>
        <w:col w:w="6362" w:space="0"/>
        <w:col w:w="3452" w:space="0"/>
        <w:col w:w="9814" w:space="0"/>
        <w:col w:w="9098" w:space="0"/>
        <w:col w:w="9102" w:space="0"/>
        <w:col w:w="9918" w:space="0"/>
        <w:col w:w="10353" w:space="0"/>
        <w:col w:w="10362" w:space="0"/>
        <w:col w:w="10362" w:space="0"/>
        <w:col w:w="10246" w:space="0"/>
        <w:col w:w="1097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