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270"/>
        <w:ind w:left="1872" w:right="201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71"/>
        <w:gridCol w:w="3271"/>
        <w:gridCol w:w="3271"/>
      </w:tblGrid>
      <w:tr>
        <w:trPr>
          <w:trHeight w:hRule="exact" w:val="330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Program: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.Sc.</w:t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Theory </w:t>
            </w:r>
          </w:p>
        </w:tc>
      </w:tr>
      <w:tr>
        <w:trPr>
          <w:trHeight w:hRule="exact" w:val="330"/>
        </w:trPr>
        <w:tc>
          <w:tcPr>
            <w:tcW w:type="dxa" w:w="9782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 DSC- VII: Physical Organic Chemistry </w:t>
            </w:r>
          </w:p>
        </w:tc>
      </w:tr>
      <w:tr>
        <w:trPr>
          <w:trHeight w:hRule="exact" w:val="332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489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60</w:t>
            </w:r>
          </w:p>
        </w:tc>
      </w:tr>
      <w:tr>
        <w:trPr>
          <w:trHeight w:hRule="exact" w:val="1620"/>
        </w:trPr>
        <w:tc>
          <w:tcPr>
            <w:tcW w:type="dxa" w:w="978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" w:after="0"/>
              <w:ind w:left="104" w:right="32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This course paper covers thermodynamic and kinetic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requirements of organic reaction – reactivity, reaction mechanism, study of acidity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basicity of organic compounds, mechanisms of surface reactions, application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chemical kinetics in pharmaceuticals, molecular dynamics in biological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macromolecules. </w:t>
            </w:r>
          </w:p>
        </w:tc>
      </w:tr>
      <w:tr>
        <w:trPr>
          <w:trHeight w:hRule="exact" w:val="3414"/>
        </w:trPr>
        <w:tc>
          <w:tcPr>
            <w:tcW w:type="dxa" w:w="978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516" w:val="left"/>
              </w:tabs>
              <w:autoSpaceDE w:val="0"/>
              <w:widowControl/>
              <w:spacing w:line="340" w:lineRule="exact" w:before="0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Student learning outcome: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At the end students will be able to learn about….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Thermodynamic and Kinetic requirements of organic reaction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Reactivity and selectivity principles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Determination of Reaction Mechanism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Linear free energy relationships (LFER)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Factors affecting acidity and basicity, Acid and base catalysis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Kinetic effects of surface heterogeneity &amp; interactions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alculation of elimination rate constant &amp; metabolism constant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Supramolecular reactivity and catalysis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Molecular channels, devices and transport processes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271"/>
        <w:gridCol w:w="3271"/>
        <w:gridCol w:w="3271"/>
      </w:tblGrid>
      <w:tr>
        <w:trPr>
          <w:trHeight w:hRule="exact" w:val="314"/>
        </w:trPr>
        <w:tc>
          <w:tcPr>
            <w:tcW w:type="dxa" w:w="7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1 Thermodynamic and Kinetic Necessities of a Reaction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  <w:tr>
        <w:trPr>
          <w:trHeight w:hRule="exact" w:val="28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Chemical equilibrium: rate and equilibrium constants </w:t>
            </w:r>
          </w:p>
        </w:tc>
      </w:tr>
      <w:tr>
        <w:trPr>
          <w:trHeight w:hRule="exact" w:val="28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Mechanistic significance of entropy, enthalpy and Gibb’s free energy </w:t>
            </w:r>
          </w:p>
        </w:tc>
      </w:tr>
      <w:tr>
        <w:trPr>
          <w:trHeight w:hRule="exact" w:val="28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</w:t>
            </w:r>
          </w:p>
        </w:tc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Arrhenius equation, transition state theory, uses of activation parameters </w:t>
            </w:r>
          </w:p>
        </w:tc>
      </w:tr>
      <w:tr>
        <w:trPr>
          <w:trHeight w:hRule="exact" w:val="282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</w:t>
            </w:r>
          </w:p>
        </w:tc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Transition state model- potential energy surface for substitution and elimination 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reactions </w:t>
      </w:r>
    </w:p>
    <w:p>
      <w:pPr>
        <w:autoSpaceDN w:val="0"/>
        <w:tabs>
          <w:tab w:pos="8210" w:val="left"/>
        </w:tabs>
        <w:autoSpaceDE w:val="0"/>
        <w:widowControl/>
        <w:spacing w:line="276" w:lineRule="exact" w:before="276" w:after="0"/>
        <w:ind w:left="28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2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Principle of Reactivity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Hammond’s postulate, Marcus theory of electron transfer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Reactivity and selectivity principles,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Curtin-Hammett Principle, Microscopic reversibility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Kinetic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vs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thermodynamic control of organic reactions </w:t>
      </w:r>
    </w:p>
    <w:p>
      <w:pPr>
        <w:autoSpaceDN w:val="0"/>
        <w:tabs>
          <w:tab w:pos="1008" w:val="left"/>
          <w:tab w:pos="8210" w:val="left"/>
        </w:tabs>
        <w:autoSpaceDE w:val="0"/>
        <w:widowControl/>
        <w:spacing w:line="276" w:lineRule="exact" w:before="276" w:after="0"/>
        <w:ind w:left="28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Determination of Reaction Mechanism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 analysis, Kinetic studies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Theory of isotope effect: primary and secondary kinetic isotope effects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Heavy atom isotope effects, Tunnelling effect, Solvent effect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Detection and trapping of intermediates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Crossover experiments and stereochemical evidence </w:t>
      </w:r>
    </w:p>
    <w:p>
      <w:pPr>
        <w:autoSpaceDN w:val="0"/>
        <w:tabs>
          <w:tab w:pos="1008" w:val="left"/>
          <w:tab w:pos="8210" w:val="left"/>
        </w:tabs>
        <w:autoSpaceDE w:val="0"/>
        <w:widowControl/>
        <w:spacing w:line="280" w:lineRule="exact" w:before="548" w:after="0"/>
        <w:ind w:left="28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4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Structural Effects on Reactivity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(10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Linear free energy relationships (LFER)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Hammett equation, substituent, constants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Theories of substituent effects, interpretation of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values, reaction constant </w:t>
      </w:r>
      <w:r>
        <w:rPr>
          <w:rFonts w:ascii="Calibri" w:hAnsi="Calibri" w:eastAsia="Calibri"/>
          <w:b w:val="0"/>
          <w:i w:val="0"/>
          <w:color w:val="000000"/>
          <w:sz w:val="24"/>
        </w:rPr>
        <w:t>ρ</w:t>
      </w:r>
    </w:p>
    <w:p>
      <w:pPr>
        <w:autoSpaceDN w:val="0"/>
        <w:autoSpaceDE w:val="0"/>
        <w:widowControl/>
        <w:spacing w:line="197" w:lineRule="auto" w:before="328" w:after="0"/>
        <w:ind w:left="0" w:right="49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1906" w:h="16838"/>
          <w:pgMar w:top="360" w:right="940" w:bottom="490" w:left="1152" w:header="720" w:footer="720" w:gutter="0"/>
          <w:cols w:space="720" w:num="1" w:equalWidth="0"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autoSpaceDN w:val="0"/>
        <w:tabs>
          <w:tab w:pos="720" w:val="left"/>
        </w:tabs>
        <w:autoSpaceDE w:val="0"/>
        <w:widowControl/>
        <w:spacing w:line="280" w:lineRule="exact" w:before="266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Deviations from Hammett equation, dual-parameter corrections,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inductive substituent constant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Taft model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scales, Swain-Scott &amp; Edward equations,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Winstein Grunwald relationship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Isokinetic relationship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5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Acids and Bases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Factors affecting acidity and basicity: Electronegativity and inductive effect,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resonance, bond strength, electrostatic effects, hybridization, aromaticity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solvation.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Comparative study of acidity and basicity of organic compounds on the basis of pKa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Levelling effect and non-aqueous solvents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 and base catalysis - general and specific catalysis with examples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 Reactions at Surfaces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Mechanisms of surface reactions- kinetic effects of surface heterogeneity &amp;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Surface inhibition and activation energies - Surface exchange reactions– TST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surface reactions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Unimolecular &amp; bimolecular reactions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Micelles: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Surface active agents-micellization, CMC, micellar catalysis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7 Application of Chemical Kinetics in Pharmaceuticals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Pharma concentration time curve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Protein binding and drugs, drug dissolution 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Pharmacokinetics applied to one-component open model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alculation of elimination rate constant &amp; metabolism constant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8 Molecular Dynamics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(12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 of molecular association and organization in biological macromolecules: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8.1.1 Enzymes, nucleic acids, membranes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8.1.2 Model systems like micelles and vesicles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Molecular receptors and design principle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8.2.1 Cryptands, cyclophanes, calixeranes, cyclodextrines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Supramolecular reactivity and catalysis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Molecular channels and transport processes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Molecular devices and nanotechnology </w:t>
      </w:r>
    </w:p>
    <w:p>
      <w:pPr>
        <w:autoSpaceDN w:val="0"/>
        <w:autoSpaceDE w:val="0"/>
        <w:widowControl/>
        <w:spacing w:line="197" w:lineRule="auto" w:before="31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62" w:right="1364" w:bottom="490" w:left="1440" w:header="720" w:footer="720" w:gutter="0"/>
          <w:cols w:space="720" w:num="1" w:equalWidth="0"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autoSpaceDN w:val="0"/>
        <w:autoSpaceDE w:val="0"/>
        <w:widowControl/>
        <w:spacing w:line="230" w:lineRule="auto" w:before="280" w:after="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2"/>
        <w:gridCol w:w="4522"/>
      </w:tblGrid>
      <w:tr>
        <w:trPr>
          <w:trHeight w:hRule="exact" w:val="281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24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</w:t>
            </w:r>
          </w:p>
          <w:p>
            <w:pPr>
              <w:autoSpaceDN w:val="0"/>
              <w:autoSpaceDE w:val="0"/>
              <w:widowControl/>
              <w:spacing w:line="266" w:lineRule="exact" w:before="28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0" w:right="24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24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Molecular Mechanics, U. Burkert and N.L. Allinger, ACS Monograph 177, 1982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Physical Organic Chemistry, N.S. Isaacs, ELBS/Longman,1990.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2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Supramolecular Chemistry; Concepts and Perspectives, J.M. Lehn,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Weinheim.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10" w:after="0"/>
              <w:ind w:left="24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Physical Chemistry, Peter Atkins and Julio de Paula,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Edition, 2006, W. 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Freeman and Company New York. </w:t>
            </w:r>
          </w:p>
          <w:p>
            <w:pPr>
              <w:autoSpaceDN w:val="0"/>
              <w:autoSpaceDE w:val="0"/>
              <w:widowControl/>
              <w:spacing w:line="286" w:lineRule="exact" w:before="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Chemical Kinetics, Keith J. Laidler,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Edition, 1987, Pearson Education.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Physical Basis of Organic Chemistry, H. Maskill, 1985, Oxford University Press.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Catalysis, J.C. Kuriacose, 1991, Macmillan India Ltd.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Micelles, Theoretical and applied aspects, V. Moroi, 1992, Plenum.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        Mechanism and Theory in Organic Chemistry, T.H. Lorry and K.S. Richardson,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1981, Harper &amp; Row, New York. </w:t>
      </w:r>
    </w:p>
    <w:p>
      <w:pPr>
        <w:autoSpaceDN w:val="0"/>
        <w:tabs>
          <w:tab w:pos="660" w:val="left"/>
        </w:tabs>
        <w:autoSpaceDE w:val="0"/>
        <w:widowControl/>
        <w:spacing w:line="276" w:lineRule="exact" w:before="12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       A Guidebook to Mechanism in Organic Chemistry, P. Sykes,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1981,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Longman, London,. </w:t>
      </w:r>
    </w:p>
    <w:p>
      <w:pPr>
        <w:autoSpaceDN w:val="0"/>
        <w:tabs>
          <w:tab w:pos="660" w:val="left"/>
        </w:tabs>
        <w:autoSpaceDE w:val="0"/>
        <w:widowControl/>
        <w:spacing w:line="276" w:lineRule="exact" w:before="12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       L.P. Hammett, Physical Organic Chemistry,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1970, McGraw Hill,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NewYork. </w:t>
      </w:r>
    </w:p>
    <w:p>
      <w:pPr>
        <w:autoSpaceDN w:val="0"/>
        <w:tabs>
          <w:tab w:pos="660" w:val="left"/>
        </w:tabs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12.       P. Deslongchamps, Stereoelectronic Effects in Organic Chemistry, 1983, Pergamon,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London. </w:t>
      </w:r>
    </w:p>
    <w:p>
      <w:pPr>
        <w:autoSpaceDN w:val="0"/>
        <w:autoSpaceDE w:val="0"/>
        <w:widowControl/>
        <w:spacing w:line="197" w:lineRule="auto" w:before="84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60" w:right="1422" w:bottom="490" w:left="1440" w:header="720" w:footer="720" w:gutter="0"/>
          <w:cols w:space="720" w:num="1" w:equalWidth="0"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640"/>
        <w:ind w:left="1872" w:right="201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71"/>
        <w:gridCol w:w="3271"/>
        <w:gridCol w:w="3271"/>
      </w:tblGrid>
      <w:tr>
        <w:trPr>
          <w:trHeight w:hRule="exact" w:val="332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Program: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.Sc.</w:t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Theory </w:t>
            </w:r>
          </w:p>
        </w:tc>
      </w:tr>
      <w:tr>
        <w:trPr>
          <w:trHeight w:hRule="exact" w:val="330"/>
        </w:trPr>
        <w:tc>
          <w:tcPr>
            <w:tcW w:type="dxa" w:w="978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 DSC-VIII: Industrial Chemistry </w:t>
            </w:r>
          </w:p>
        </w:tc>
      </w:tr>
      <w:tr>
        <w:trPr>
          <w:trHeight w:hRule="exact" w:val="336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04(T) </w:t>
            </w:r>
          </w:p>
        </w:tc>
        <w:tc>
          <w:tcPr>
            <w:tcW w:type="dxa" w:w="489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60</w:t>
            </w:r>
          </w:p>
        </w:tc>
      </w:tr>
      <w:tr>
        <w:trPr>
          <w:trHeight w:hRule="exact" w:val="1296"/>
        </w:trPr>
        <w:tc>
          <w:tcPr>
            <w:tcW w:type="dxa" w:w="978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824" w:right="32" w:hanging="72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This course paper includes the concept of material and energy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balance, design of equipment, various instruments useful in industry, flow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chemistry, industrial polymers, developments of process in chemical industries,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strategies for organic reaction and processes and phase transfer catalysis. </w:t>
            </w:r>
          </w:p>
        </w:tc>
      </w:tr>
      <w:tr>
        <w:trPr>
          <w:trHeight w:hRule="exact" w:val="3390"/>
        </w:trPr>
        <w:tc>
          <w:tcPr>
            <w:tcW w:type="dxa" w:w="978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Student learning outcome: At the end the students will be able to learn about.. </w:t>
            </w:r>
          </w:p>
          <w:p>
            <w:pPr>
              <w:autoSpaceDN w:val="0"/>
              <w:tabs>
                <w:tab w:pos="876" w:val="left"/>
              </w:tabs>
              <w:autoSpaceDE w:val="0"/>
              <w:widowControl/>
              <w:spacing w:line="340" w:lineRule="exact" w:before="2" w:after="0"/>
              <w:ind w:left="51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Material and energy balance and calculations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Material and design of chemical reactor, pressure vessel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Instruments for measuring temperature, pressure and water flow of process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stream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Principles and types of flow chemistry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Principle, working and applications of polymer processing techniques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Objectives and approaches of process development in chemical industries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Choice of reagents and solvents for organic reaction and processes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Nature and factors of phase transfer catalysis reactions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271"/>
        <w:gridCol w:w="3271"/>
        <w:gridCol w:w="3271"/>
      </w:tblGrid>
      <w:tr>
        <w:trPr>
          <w:trHeight w:hRule="exact" w:val="318"/>
        </w:trPr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1 Material and Energy Balance 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Material balance: Process classification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Choice of system and basis of molecular processes with chemical reactions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Material balance calculations </w:t>
            </w:r>
          </w:p>
        </w:tc>
      </w:tr>
      <w:tr>
        <w:trPr>
          <w:trHeight w:hRule="exact" w:val="2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Multiple unit processes, Recycle and bypass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Energy balance: Forms of energy, Energy balance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1.6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Energy changes in physical processes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1.7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Energy changes in reactions </w:t>
            </w:r>
          </w:p>
        </w:tc>
      </w:tr>
      <w:tr>
        <w:trPr>
          <w:trHeight w:hRule="exact" w:val="40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1.8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Energy balance Calculations </w:t>
            </w:r>
          </w:p>
        </w:tc>
      </w:tr>
      <w:tr>
        <w:trPr>
          <w:trHeight w:hRule="exact" w:val="420"/>
        </w:trPr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2 Equipment Design 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Material of constructions: Mechanical properties, Corrosion resistance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Plastics, Ceramics, Metals and alloys, Stainless steel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Special material for food and pharmaceutical equipment </w:t>
            </w:r>
          </w:p>
        </w:tc>
      </w:tr>
      <w:tr>
        <w:trPr>
          <w:trHeight w:hRule="exact" w:val="2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Protective coatings, Surface treatment to metals for corrosion resistance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Classification of chemical reactors, Design of chemical reactors </w:t>
            </w:r>
          </w:p>
        </w:tc>
      </w:tr>
      <w:tr>
        <w:trPr>
          <w:trHeight w:hRule="exact" w:val="42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Pressure vessels for internal or external pressure </w:t>
            </w:r>
          </w:p>
        </w:tc>
      </w:tr>
      <w:tr>
        <w:trPr>
          <w:trHeight w:hRule="exact" w:val="420"/>
        </w:trPr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3 Industrial Instrumentation 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Measurement of temperature, Thermo couples and pyrometers, High temperature </w:t>
            </w:r>
          </w:p>
        </w:tc>
      </w:tr>
    </w:tbl>
    <w:p>
      <w:pPr>
        <w:autoSpaceDN w:val="0"/>
        <w:tabs>
          <w:tab w:pos="1008" w:val="left"/>
        </w:tabs>
        <w:autoSpaceDE w:val="0"/>
        <w:widowControl/>
        <w:spacing w:line="274" w:lineRule="exact" w:before="0" w:after="0"/>
        <w:ind w:left="288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thermometers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Optical pyrometers, Measurement of pressure and vacuum, Manometric and Bourdon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gauges, Vacuum gauges, Ionization and pirani gauges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Flow measurement, Pitot tube, Rotameters, Liquid level indicators, Hook Type, Sight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glass, Float type, Capacitance level indicator, Radiation level indicator </w:t>
      </w:r>
    </w:p>
    <w:p>
      <w:pPr>
        <w:autoSpaceDN w:val="0"/>
        <w:autoSpaceDE w:val="0"/>
        <w:widowControl/>
        <w:spacing w:line="197" w:lineRule="auto" w:before="686" w:after="0"/>
        <w:ind w:left="0" w:right="49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360" w:right="940" w:bottom="490" w:left="1152" w:header="720" w:footer="720" w:gutter="0"/>
          <w:cols w:space="720" w:num="1" w:equalWidth="0"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4 Flow Chemistry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Flow chemistry versus batch chemistry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Key principles of flow chemistry: residence time, mixing, pressure and temperature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flow chemistry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5 Industrial Polymers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Principle, Working and applications of following polymer processing techniques: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Injection moulding, extrusion, blow moulding, compression moulding, film casting,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thermoforming and vacuum forming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 Process Development in Chemical Industries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(12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process research &amp;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Goals &amp; Objectives of Process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Stages in process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Scope and Limitations of Process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Exploratory (Investigative) approach in Process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Survey of Some organic reactions in relation to process development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7 Strategies for simplification of organic reaction and processes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Choosing a reagent, Modifying reagents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Solvents: choosing a solvent, impurities in solvent, effect of solvents in organic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reactions, mixed solvents,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Aqueous mediums for organic reactions, liquid products as solvents, new solvents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8 Phase transfer catalysis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(10 Hours)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Nature of phase transfer catalysis reactions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Factors effecting phase transfer catalysis reactions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Choosing a phase transfer catalyst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phase transfer catalysts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Industrial chemistry, H.K. L. Vaid,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2007, Anmol publication. </w:t>
      </w:r>
      <w:r>
        <w:rPr>
          <w:rFonts w:ascii="TimesNewRomanPSMT" w:hAnsi="TimesNewRomanPSMT" w:eastAsia="TimesNewRomanPSMT"/>
          <w:b w:val="0"/>
          <w:i w:val="0"/>
          <w:color w:val="292A42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292A42"/>
          <w:sz w:val="24"/>
        </w:rPr>
        <w:t xml:space="preserve">Fundamentals of Industrial Chemistry: Pharmaceuticals, Polymers, and Business,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John A. Tyrell, 2014.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92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Outlines of industrial chemistry, Frank Hall Thorp and Warren Kendall Lewis, 2018,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Palala Press.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Industrial Chemistry, Dr. Darshan V. Chaudhary,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2015,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Create space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publisher.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Industrial Inorganic Chemistry, </w:t>
      </w:r>
      <w:r>
        <w:rPr>
          <w:rFonts w:ascii="TimesNewRomanPSMT" w:hAnsi="TimesNewRomanPSMT" w:eastAsia="TimesNewRomanPSMT"/>
          <w:b w:val="0"/>
          <w:i w:val="0"/>
          <w:color w:val="0F1111"/>
          <w:sz w:val="21"/>
        </w:rPr>
        <w:t>Mark Anthony Benvenuto</w:t>
      </w:r>
      <w:r>
        <w:rPr>
          <w:rFonts w:ascii="Arial" w:hAnsi="Arial" w:eastAsia="Arial"/>
          <w:b/>
          <w:i w:val="0"/>
          <w:color w:val="0F1111"/>
          <w:sz w:val="21"/>
        </w:rPr>
        <w:t>,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hyperlink r:id="rId9" w:history="1">
          <w:r>
            <w:rPr>
              <w:rStyle w:val="Hyperlink"/>
            </w:rPr>
            <w:t xml:space="preserve"> de Gruyter, </w:t>
          </w:r>
        </w:hyperlink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2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hyperlink r:id="rId10" w:history="1">
          <w:r>
            <w:rPr>
              <w:rStyle w:val="Hyperlink"/>
            </w:rPr>
            <w:t xml:space="preserve">013.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hyperlink r:id="rId10" w:history="1">
          <w:r>
            <w:rPr>
              <w:rStyle w:val="Hyperlink"/>
            </w:rPr>
            <w:t>6.</w:t>
          </w:r>
        </w:hyperlink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hyperlink r:id="rId10" w:history="1">
          <w:r>
            <w:rPr>
              <w:rStyle w:val="Hyperlink"/>
            </w:rPr>
            <w:t>Organic</w:t>
          </w:r>
        </w:hyperlink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Chemistry Principles and Industrial Practice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hyperlink r:id="rId9" w:history="1">
          <w:r>
            <w:rPr>
              <w:rStyle w:val="Hyperlink"/>
            </w:rPr>
            <w:t xml:space="preserve"> Mark M. Green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,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hyperlink r:id="rId10" w:history="1">
          <w:r>
            <w:rPr>
              <w:rStyle w:val="Hyperlink"/>
            </w:rPr>
            <w:t xml:space="preserve"> Harold A.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hyperlink r:id="rId10" w:history="1">
          <w:r>
            <w:rPr>
              <w:rStyle w:val="Hyperlink"/>
            </w:rPr>
            <w:t>Wittcoff,</w:t>
          </w:r>
        </w:hyperlink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1</w:t>
      </w:r>
      <w:r>
        <w:rPr>
          <w:rFonts w:ascii="TimesNewRomanPSMT" w:hAnsi="TimesNewRomanPSMT" w:eastAsia="TimesNewRomanPSMT"/>
          <w:b w:val="0"/>
          <w:i w:val="0"/>
          <w:color w:val="0F1111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Edition, Willey-VCH Gmbh &amp; Co, KGaA.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Toma Glasnov, Continuous-Flow Chemistry in Research Laboratory, Springer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Publisher. </w:t>
      </w:r>
    </w:p>
    <w:p>
      <w:pPr>
        <w:autoSpaceDN w:val="0"/>
        <w:autoSpaceDE w:val="0"/>
        <w:widowControl/>
        <w:spacing w:line="197" w:lineRule="auto" w:before="5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360" w:right="1364" w:bottom="490" w:left="1440" w:header="720" w:footer="720" w:gutter="0"/>
          <w:cols w:space="720" w:num="1" w:equalWidth="0"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2222"/>
          <w:sz w:val="22"/>
        </w:rPr>
        <w:t>8.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Polymer Technology, D.C. Miles &amp; J. H. Briston, Enlarged edition, 1996, Chemical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Publishing company, Inc, New York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2"/>
        </w:rPr>
        <w:t>9.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Plastics Materials and Processes, Seymour S. Schwartz S.H. Goodman,1982, Van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Nostrand Reinhold, New York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2"/>
        </w:rPr>
        <w:t>10.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Plastics Technology, R. V. Milbey, 1</w:t>
      </w:r>
      <w:r>
        <w:rPr>
          <w:rFonts w:ascii="TimesNewRomanPSMT" w:hAnsi="TimesNewRomanPSMT" w:eastAsia="TimesNewRomanPSMT"/>
          <w:b w:val="0"/>
          <w:i w:val="0"/>
          <w:color w:val="222222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Edition, 1973, McGraw Hill, Book Company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New York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2"/>
        </w:rPr>
        <w:t>11.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The chemistry of process development in fine chemicals and pharmaceutical industry,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>C. Someshwara Rao, 2</w:t>
      </w:r>
      <w:r>
        <w:rPr>
          <w:rFonts w:ascii="TimesNewRomanPSMT" w:hAnsi="TimesNewRomanPSMT" w:eastAsia="TimesNewRomanPSMT"/>
          <w:b w:val="0"/>
          <w:i w:val="0"/>
          <w:color w:val="222222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Edition, 2004, Asian books Pvt. Ltd. New Delhi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2"/>
        </w:rPr>
        <w:t>12.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Developing an Industrial chemical process, Joseph Mizrahi, 2003, CRC press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2222"/>
          <w:sz w:val="22"/>
        </w:rPr>
        <w:t>13.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Practical process research and development, N. G. Anderson, 2000, American Press </w:t>
      </w:r>
      <w:r>
        <w:rPr>
          <w:rFonts w:ascii="TimesNewRomanPSMT" w:hAnsi="TimesNewRomanPSMT" w:eastAsia="TimesNewRomanPSMT"/>
          <w:b w:val="0"/>
          <w:i w:val="0"/>
          <w:color w:val="222222"/>
          <w:sz w:val="22"/>
        </w:rPr>
        <w:t>14.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Designing and operating safe chemical reaction process,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Health and Safety Executive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(HSE)</w:t>
      </w:r>
      <w:r>
        <w:rPr>
          <w:rFonts w:ascii="TimesNewRomanPSMT" w:hAnsi="TimesNewRomanPSMT" w:eastAsia="TimesNewRomanPSMT"/>
          <w:b w:val="0"/>
          <w:i w:val="0"/>
          <w:color w:val="0F1111"/>
          <w:sz w:val="21"/>
        </w:rPr>
        <w:t>, 2000,</w:t>
      </w:r>
      <w:r>
        <w:rPr>
          <w:rFonts w:ascii="TimesNewRomanPSMT" w:hAnsi="TimesNewRomanPSMT" w:eastAsia="TimesNewRomanPSMT"/>
          <w:b w:val="0"/>
          <w:i w:val="0"/>
          <w:color w:val="222222"/>
          <w:sz w:val="24"/>
        </w:rPr>
        <w:t xml:space="preserve"> HSE publishers</w:t>
      </w:r>
    </w:p>
    <w:p>
      <w:pPr>
        <w:autoSpaceDN w:val="0"/>
        <w:autoSpaceDE w:val="0"/>
        <w:widowControl/>
        <w:spacing w:line="197" w:lineRule="auto" w:before="103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60" w:right="1360" w:bottom="490" w:left="1440" w:header="720" w:footer="720" w:gutter="0"/>
          <w:cols w:space="720" w:num="1" w:equalWidth="0"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72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335"/>
        <w:gridCol w:w="3335"/>
        <w:gridCol w:w="3335"/>
      </w:tblGrid>
      <w:tr>
        <w:trPr>
          <w:trHeight w:hRule="exact" w:val="286"/>
        </w:trPr>
        <w:tc>
          <w:tcPr>
            <w:tcW w:type="dxa" w:w="524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M.Sc. Organic Chemistry </w:t>
            </w:r>
          </w:p>
        </w:tc>
        <w:tc>
          <w:tcPr>
            <w:tcW w:type="dxa" w:w="46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Chemistry</w:t>
            </w:r>
          </w:p>
        </w:tc>
      </w:tr>
      <w:tr>
        <w:trPr>
          <w:trHeight w:hRule="exact" w:val="384"/>
        </w:trPr>
        <w:tc>
          <w:tcPr>
            <w:tcW w:type="dxa" w:w="5248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Semester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 IV</w:t>
            </w:r>
          </w:p>
        </w:tc>
        <w:tc>
          <w:tcPr>
            <w:tcW w:type="dxa" w:w="464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6"/>
        </w:trPr>
        <w:tc>
          <w:tcPr>
            <w:tcW w:type="dxa" w:w="9894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DSE-V-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Principles of Medicinal Chemistry</w:t>
            </w:r>
          </w:p>
        </w:tc>
      </w:tr>
      <w:tr>
        <w:trPr>
          <w:trHeight w:hRule="exact" w:val="28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04(T) </w:t>
            </w:r>
          </w:p>
        </w:tc>
        <w:tc>
          <w:tcPr>
            <w:tcW w:type="dxa" w:w="50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4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392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explores the role of organic chemistry in the discovery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synthesis of important compounds widely used as medicines. It includes drug discovery process,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QSAR concept, and role of computer in drug design. This syllabus also covers pharmacokinetics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pharmacodynamics which is very important for the students of medicinal chemistry. Apart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these some important drugs are also discussed in this paper. </w:t>
            </w:r>
          </w:p>
        </w:tc>
      </w:tr>
      <w:tr>
        <w:trPr>
          <w:trHeight w:hRule="exact" w:val="2288"/>
        </w:trPr>
        <w:tc>
          <w:tcPr>
            <w:tcW w:type="dxa" w:w="989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  <w:tab w:pos="884" w:val="left"/>
              </w:tabs>
              <w:autoSpaceDE w:val="0"/>
              <w:widowControl/>
              <w:spacing w:line="284" w:lineRule="exact" w:before="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course……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gain a comprehensive understanding of the fundamental concepts related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actions and clinical uses of major classes of drugs from their chemical structures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 will be familiar with history of drugs, new invention in Medicinal chemistry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get an overview of the applications of these concepts in applied field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be aware about the basic ideas of medicines &amp; their working mechanism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Students will have knowledge of synthesis of some drugs</w:t>
            </w:r>
          </w:p>
        </w:tc>
      </w:tr>
    </w:tbl>
    <w:p>
      <w:pPr>
        <w:autoSpaceDN w:val="0"/>
        <w:autoSpaceDE w:val="0"/>
        <w:widowControl/>
        <w:spacing w:line="230" w:lineRule="auto" w:before="460" w:after="0"/>
        <w:ind w:left="1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Unit-1 Introduction to Drug Discovery                                                                     (10 Hrs) </w:t>
      </w:r>
    </w:p>
    <w:p>
      <w:pPr>
        <w:autoSpaceDN w:val="0"/>
        <w:tabs>
          <w:tab w:pos="790" w:val="left"/>
        </w:tabs>
        <w:autoSpaceDE w:val="0"/>
        <w:widowControl/>
        <w:spacing w:line="276" w:lineRule="exact" w:before="22" w:after="0"/>
        <w:ind w:left="82" w:right="33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Stereochemistry and drug design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Structurally rigid groups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Conformation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Configuration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1.3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Solubility and drug design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Solubility and drug structure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Salt formation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incorporation of water solubilizing groups in a structure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type of group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Reversibly and irreversibly attached groups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position of the water solubilizing group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introduction </w:t>
      </w:r>
    </w:p>
    <w:p>
      <w:pPr>
        <w:autoSpaceDN w:val="0"/>
        <w:autoSpaceDE w:val="0"/>
        <w:widowControl/>
        <w:spacing w:line="230" w:lineRule="auto" w:before="458" w:after="0"/>
        <w:ind w:left="8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Unit-2 Quantitative Structure–Activity Relationship                                               (08 Hrs) </w:t>
      </w:r>
    </w:p>
    <w:p>
      <w:pPr>
        <w:autoSpaceDN w:val="0"/>
        <w:tabs>
          <w:tab w:pos="82" w:val="left"/>
        </w:tabs>
        <w:autoSpaceDE w:val="0"/>
        <w:widowControl/>
        <w:spacing w:line="276" w:lineRule="exact" w:before="22" w:after="0"/>
        <w:ind w:left="0" w:right="28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2.1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quantitative structure activity relationship studies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Lipophilicity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2.2.1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Partition coefficients (P) 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Lipophilic substitution constants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Electronic effects: The Hammett constant (s)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Steric effects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Taft steric parameter (Es)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Molar refractivity (MR)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Other parameters </w:t>
      </w:r>
    </w:p>
    <w:p>
      <w:pPr>
        <w:autoSpaceDN w:val="0"/>
        <w:autoSpaceDE w:val="0"/>
        <w:widowControl/>
        <w:spacing w:line="266" w:lineRule="exact" w:before="32" w:after="0"/>
        <w:ind w:left="8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Hansch analysis </w:t>
      </w:r>
    </w:p>
    <w:p>
      <w:pPr>
        <w:autoSpaceDN w:val="0"/>
        <w:autoSpaceDE w:val="0"/>
        <w:widowControl/>
        <w:spacing w:line="266" w:lineRule="exact" w:before="32" w:after="0"/>
        <w:ind w:left="8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Craig plots </w:t>
      </w:r>
    </w:p>
    <w:p>
      <w:pPr>
        <w:autoSpaceDN w:val="0"/>
        <w:autoSpaceDE w:val="0"/>
        <w:widowControl/>
        <w:spacing w:line="266" w:lineRule="exact" w:before="34" w:after="0"/>
        <w:ind w:left="8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Topliss decision tree </w:t>
      </w:r>
    </w:p>
    <w:p>
      <w:pPr>
        <w:autoSpaceDN w:val="0"/>
        <w:autoSpaceDE w:val="0"/>
        <w:widowControl/>
        <w:spacing w:line="197" w:lineRule="auto" w:before="536" w:after="0"/>
        <w:ind w:left="0" w:right="53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60" w:right="544" w:bottom="490" w:left="1358" w:header="720" w:footer="720" w:gutter="0"/>
          <w:cols w:space="720" w:num="1" w:equalWidth="0"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autoSpaceDN w:val="0"/>
        <w:autoSpaceDE w:val="0"/>
        <w:widowControl/>
        <w:spacing w:line="276" w:lineRule="exact" w:before="53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Unit-3 Computer Aided Drug Design                                                                         (07 Hrs)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Introduction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Molecular modelling methods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Computer graphics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Molecular mechanics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Creating a molecular model using molecular mechanics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Molecular dynamics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Conformational analysis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Quantum mechanics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3.5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Docking </w:t>
      </w:r>
    </w:p>
    <w:p>
      <w:pPr>
        <w:autoSpaceDN w:val="0"/>
        <w:autoSpaceDE w:val="0"/>
        <w:widowControl/>
        <w:spacing w:line="230" w:lineRule="auto" w:before="19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Pharmacokinetic                                                                                               (07 Hrs) </w:t>
      </w:r>
    </w:p>
    <w:p>
      <w:pPr>
        <w:autoSpaceDN w:val="0"/>
        <w:autoSpaceDE w:val="0"/>
        <w:widowControl/>
        <w:spacing w:line="276" w:lineRule="exact" w:before="22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Basic principles of pharmacokinetics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Absorption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Distribution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Metabolism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Excretion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Pharmacokinetic models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Pharmacokinetic parameters in defining drug deposition and in therapeutics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Uses of pharmacokinetics in drug development process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Concept of pro drug and soft drug </w:t>
      </w:r>
    </w:p>
    <w:p>
      <w:pPr>
        <w:autoSpaceDN w:val="0"/>
        <w:autoSpaceDE w:val="0"/>
        <w:widowControl/>
        <w:spacing w:line="276" w:lineRule="exact" w:before="40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Pharmacodynamics                                                                                          (08 Hrs)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5.1 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Principles of drug action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Mechanisms of drug action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Introduction to the concept of receptors and drug receptor interactions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Biotransformation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Dose-response relationships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Drug potency and efficacy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Combined effect of drugs</w:t>
      </w:r>
    </w:p>
    <w:p>
      <w:pPr>
        <w:autoSpaceDN w:val="0"/>
        <w:autoSpaceDE w:val="0"/>
        <w:widowControl/>
        <w:spacing w:line="230" w:lineRule="auto" w:before="4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Unit-6 Antibiotics                                                                                                         (07 Hrs)</w:t>
      </w:r>
    </w:p>
    <w:p>
      <w:pPr>
        <w:autoSpaceDN w:val="0"/>
        <w:autoSpaceDE w:val="0"/>
        <w:widowControl/>
        <w:spacing w:line="264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Introduction and classification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Antibiotics that interfere with the biosynthesis of bacterial cell wall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The β -lactum antibiotics: Penicillin and Cephalosporin (Synthesis and uses)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Non lactum antibiotics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Bacitracin, Vancomycin and Cycloserine (Synthesis and therapeutic uses)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Antibiotics that interfere with the protein biosynthesis in microorganisms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Non lactum antibiotics: Tetracycline, Chloroamphenicol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Non classifiable antibiotics </w:t>
      </w:r>
    </w:p>
    <w:p>
      <w:pPr>
        <w:autoSpaceDN w:val="0"/>
        <w:autoSpaceDE w:val="0"/>
        <w:widowControl/>
        <w:spacing w:line="296" w:lineRule="exact" w:before="25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 Drugs Acting at Synaptic and Neuro-Effector Junction Sites                      (07 Hrs)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Cholinergics and Anticholinesterases </w:t>
      </w:r>
    </w:p>
    <w:p>
      <w:pPr>
        <w:autoSpaceDN w:val="0"/>
        <w:autoSpaceDE w:val="0"/>
        <w:widowControl/>
        <w:spacing w:line="266" w:lineRule="exact" w:before="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Adrenergic .drugs </w:t>
      </w:r>
    </w:p>
    <w:p>
      <w:pPr>
        <w:autoSpaceDN w:val="0"/>
        <w:autoSpaceDE w:val="0"/>
        <w:widowControl/>
        <w:spacing w:line="197" w:lineRule="auto" w:before="5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362" w:right="1362" w:bottom="490" w:left="1440" w:header="720" w:footer="720" w:gutter="0"/>
          <w:cols w:space="720" w:num="1" w:equalWidth="0">
            <w:col w:w="9104" w:space="0"/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autoSpaceDN w:val="0"/>
        <w:autoSpaceDE w:val="0"/>
        <w:widowControl/>
        <w:spacing w:line="296" w:lineRule="exact" w:before="250" w:after="0"/>
        <w:ind w:left="0" w:right="48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Antispasmodic and antiulcer drugs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Neuromuscular blocking agents </w:t>
      </w:r>
    </w:p>
    <w:p>
      <w:pPr>
        <w:autoSpaceDN w:val="0"/>
        <w:tabs>
          <w:tab w:pos="708" w:val="left"/>
        </w:tabs>
        <w:autoSpaceDE w:val="0"/>
        <w:widowControl/>
        <w:spacing w:line="298" w:lineRule="exact" w:before="27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Miscellaneous                                                                                                   (06 Hrs)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Antifungal – polyenes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Antiviral – Acyclovic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Antimalarials : : Modern chemotherapy of malaria, 4-amino and 8-amino quinolins,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9-  amino  acridine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Mode of action of antimalarial agents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SAR of antimalarial agents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8.6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Synthesis of mefloquines, chloroquine, primaquine and daraprim </w:t>
      </w:r>
    </w:p>
    <w:p>
      <w:pPr>
        <w:autoSpaceDN w:val="0"/>
        <w:autoSpaceDE w:val="0"/>
        <w:widowControl/>
        <w:spacing w:line="230" w:lineRule="auto" w:before="9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Reference: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16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Burger’s medicinal chemistry and drug design, 1997, vol 1 to 5 edited by Manfred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E.Woltt John wiley and sons Mc. New York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Foye’s Principles of medicinal chemistry, Thomas Lemke, 2012,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Lippincott Williams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and Wilkins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medicinal chemistry vol I &amp; II (5/e), F.S.kadam, K.R. Mahadic ad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K.G.Bohra, 2019, Nirali publication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Medicinal chemistry, Ashutosh kar, 2018,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New Age International Publishers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organic chemistry of drug synthesis vol I, II and III Daniel Lednicer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(Editor)</w:t>
      </w:r>
      <w:r>
        <w:rPr>
          <w:rFonts w:ascii="TimesNewRomanPSMT" w:hAnsi="TimesNewRomanPSMT" w:eastAsia="TimesNewRomanPSMT"/>
          <w:b w:val="0"/>
          <w:i w:val="0"/>
          <w:color w:val="414245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Lester A. Mitscher (Editor), 1980, Wiley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introduction to Medicinal chemistry, G. L. Patrick, 2018, Oxford University Press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Organic Chemistry of Drug Design and Drug Action, Richard B. Silvermann,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2014, Academic Press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Essentials of Medical Pharmacology, K. D. Tripathi, 2019, Jaypee Brothers Medical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Publishers (P) Ltd. </w:t>
      </w:r>
    </w:p>
    <w:p>
      <w:pPr>
        <w:autoSpaceDN w:val="0"/>
        <w:autoSpaceDE w:val="0"/>
        <w:widowControl/>
        <w:spacing w:line="298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textbook of medicinal chemistry, P. Primoo, 2019, CBS Publishers &amp; Distributors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Text book of pharmaceutical organic chemistry, Md. Ali, 2020, CBS Publishers </w:t>
      </w:r>
    </w:p>
    <w:p>
      <w:pPr>
        <w:autoSpaceDN w:val="0"/>
        <w:autoSpaceDE w:val="0"/>
        <w:widowControl/>
        <w:spacing w:line="197" w:lineRule="auto" w:before="43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360" w:right="1440" w:bottom="490" w:left="1440" w:header="720" w:footer="720" w:gutter="0"/>
          <w:cols w:space="720" w:num="1" w:equalWidth="0">
            <w:col w:w="9026" w:space="0"/>
            <w:col w:w="9104" w:space="0"/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322" w:lineRule="exact" w:before="30" w:after="270"/>
        <w:ind w:left="1872" w:right="201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71"/>
        <w:gridCol w:w="3271"/>
        <w:gridCol w:w="3271"/>
      </w:tblGrid>
      <w:tr>
        <w:trPr>
          <w:trHeight w:hRule="exact" w:val="330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M.Sc.</w:t>
            </w:r>
          </w:p>
        </w:tc>
        <w:tc>
          <w:tcPr>
            <w:tcW w:type="dxa" w:w="45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Theory </w:t>
            </w:r>
          </w:p>
        </w:tc>
      </w:tr>
      <w:tr>
        <w:trPr>
          <w:trHeight w:hRule="exact" w:val="330"/>
        </w:trPr>
        <w:tc>
          <w:tcPr>
            <w:tcW w:type="dxa" w:w="5246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Semester-4 </w:t>
            </w:r>
          </w:p>
        </w:tc>
        <w:tc>
          <w:tcPr>
            <w:tcW w:type="dxa" w:w="45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978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DSE – IV Dyes </w:t>
            </w:r>
          </w:p>
        </w:tc>
      </w:tr>
      <w:tr>
        <w:trPr>
          <w:trHeight w:hRule="exact" w:val="334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04(T) </w:t>
            </w:r>
          </w:p>
        </w:tc>
        <w:tc>
          <w:tcPr>
            <w:tcW w:type="dxa" w:w="489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60</w:t>
            </w:r>
          </w:p>
        </w:tc>
      </w:tr>
      <w:tr>
        <w:trPr>
          <w:trHeight w:hRule="exact" w:val="1664"/>
        </w:trPr>
        <w:tc>
          <w:tcPr>
            <w:tcW w:type="dxa" w:w="9782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will give an introduction to dyes and pigments. The primary goal of this course is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make students aware of how dyes can be classified and the basic chemistry applied in dyeing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process. This subject provides fundamental knowledge of various types of dyes and how to carry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out dyeing process in textile industries. This course also includes applications of dyes in the field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other than textile fibres. </w:t>
            </w:r>
          </w:p>
        </w:tc>
      </w:tr>
      <w:tr>
        <w:trPr>
          <w:trHeight w:hRule="exact" w:val="1736"/>
        </w:trPr>
        <w:tc>
          <w:tcPr>
            <w:tcW w:type="dxa" w:w="978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88" w:lineRule="exact" w:before="0" w:after="0"/>
              <w:ind w:left="104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Upon completion of this course, students will be able to learn about: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explain the and define the classes of dyes, substrates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variety and chemistry of dyes and their application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distinguish the various dye class and their application to different fibres types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uses of dyes in non-textile field.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907"/>
        <w:gridCol w:w="4907"/>
      </w:tblGrid>
      <w:tr>
        <w:trPr>
          <w:trHeight w:hRule="exact" w:val="38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1 Colour and constitutions 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(06 Hours) </w:t>
            </w:r>
          </w:p>
        </w:tc>
      </w:tr>
    </w:tbl>
    <w:p>
      <w:pPr>
        <w:autoSpaceDN w:val="0"/>
        <w:autoSpaceDE w:val="0"/>
        <w:widowControl/>
        <w:spacing w:line="266" w:lineRule="exact" w:before="132" w:after="0"/>
        <w:ind w:left="2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Colour, chromophore and Auxochromes. </w:t>
      </w:r>
    </w:p>
    <w:p>
      <w:pPr>
        <w:autoSpaceDN w:val="0"/>
        <w:tabs>
          <w:tab w:pos="1008" w:val="left"/>
        </w:tabs>
        <w:autoSpaceDE w:val="0"/>
        <w:widowControl/>
        <w:spacing w:line="266" w:lineRule="exact" w:before="10" w:after="0"/>
        <w:ind w:left="1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dyes based on chemical nature. </w:t>
      </w:r>
    </w:p>
    <w:p>
      <w:pPr>
        <w:autoSpaceDN w:val="0"/>
        <w:tabs>
          <w:tab w:pos="288" w:val="left"/>
          <w:tab w:pos="716" w:val="left"/>
          <w:tab w:pos="1140" w:val="left"/>
          <w:tab w:pos="1460" w:val="left"/>
          <w:tab w:pos="8210" w:val="left"/>
        </w:tabs>
        <w:autoSpaceDE w:val="0"/>
        <w:widowControl/>
        <w:spacing w:line="276" w:lineRule="exact" w:before="0" w:after="0"/>
        <w:ind w:left="14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 between colour and constitution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Witt’s theory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Armstrong theory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Modern theory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(a)Valence bond theory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(b)Molecular orbital theory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Unit2  Dyes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1008" w:val="left"/>
        </w:tabs>
        <w:autoSpaceDE w:val="0"/>
        <w:widowControl/>
        <w:spacing w:line="276" w:lineRule="exact" w:before="180" w:after="0"/>
        <w:ind w:left="28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Definition, Classification Based on Application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Fastness properties &amp; applicability on substrates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Examples with structures (a) Acid Dyes- Orange II, (b) Basic Dyes-methyl violet,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Victoria Blue B (c) Direct cotton Dyes- Benzofast Yellow 5GL (d) Azoic Dyes-Diazo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components; Fast yellow G, Fast Orange R. Coupling   components. Naphthol AS,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Naphthol ASG (e) Mordant Dyes-Erichrome Black A, Alizarin. (f) Vat Dyes-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Indanthrene brown RRD, Indanthrene Red 5GK. (g)  Sulphur Dyes- Sulphur Black 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(no structure) (h) Disperse Dyes-Celliton Fast brown 3R, perlon fastblue FFR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Reactive  Dye scibacron Brillant Red B, procion briilant Blue HB. </w:t>
      </w:r>
    </w:p>
    <w:p>
      <w:pPr>
        <w:autoSpaceDN w:val="0"/>
        <w:tabs>
          <w:tab w:pos="8210" w:val="left"/>
        </w:tabs>
        <w:autoSpaceDE w:val="0"/>
        <w:widowControl/>
        <w:spacing w:line="230" w:lineRule="auto" w:before="286" w:after="0"/>
        <w:ind w:left="28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Considerations in Dye Design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</w:p>
    <w:p>
      <w:pPr>
        <w:autoSpaceDN w:val="0"/>
        <w:tabs>
          <w:tab w:pos="1008" w:val="left"/>
        </w:tabs>
        <w:autoSpaceDE w:val="0"/>
        <w:widowControl/>
        <w:spacing w:line="276" w:lineRule="exact" w:before="184" w:after="0"/>
        <w:ind w:left="288" w:right="54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 -substrate affinity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Dyes for polyesters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Dyes for polyamides and proteins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Dyes for cationic polymers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Dyes for cellulosic polymers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Toxicological consideration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-Property Relationship. </w:t>
      </w:r>
    </w:p>
    <w:p>
      <w:pPr>
        <w:autoSpaceDN w:val="0"/>
        <w:autoSpaceDE w:val="0"/>
        <w:widowControl/>
        <w:spacing w:line="197" w:lineRule="auto" w:before="638" w:after="0"/>
        <w:ind w:left="0" w:right="485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60" w:right="940" w:bottom="490" w:left="1152" w:header="720" w:footer="720" w:gutter="0"/>
          <w:cols w:space="720" w:num="1" w:equalWidth="0">
            <w:col w:w="9813" w:space="0"/>
            <w:col w:w="9026" w:space="0"/>
            <w:col w:w="9104" w:space="0"/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280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sectPr>
          <w:pgSz w:w="11906" w:h="16838"/>
          <w:pgMar w:top="362" w:right="1364" w:bottom="490" w:left="1440" w:header="720" w:footer="720" w:gutter="0"/>
          <w:cols w:space="720" w:num="1" w:equalWidth="0">
            <w:col w:w="9102" w:space="0"/>
            <w:col w:w="9813" w:space="0"/>
            <w:col w:w="9026" w:space="0"/>
            <w:col w:w="9104" w:space="0"/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4 General Theory of Dyeing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of Dyeing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of water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of electrolytes </w:t>
      </w:r>
    </w:p>
    <w:p>
      <w:pPr>
        <w:sectPr>
          <w:type w:val="continuous"/>
          <w:pgSz w:w="11906" w:h="16838"/>
          <w:pgMar w:top="362" w:right="1364" w:bottom="490" w:left="1440" w:header="720" w:footer="720" w:gutter="0"/>
          <w:cols w:space="720" w:num="2" w:equalWidth="0">
            <w:col w:w="5688" w:space="0"/>
            <w:col w:w="3414" w:space="0"/>
            <w:col w:w="9102" w:space="0"/>
            <w:col w:w="9813" w:space="0"/>
            <w:col w:w="9026" w:space="0"/>
            <w:col w:w="9104" w:space="0"/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018"/>
        <w:ind w:left="0" w:right="2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</w:p>
    <w:p>
      <w:pPr>
        <w:sectPr>
          <w:type w:val="nextColumn"/>
          <w:pgSz w:w="11906" w:h="16838"/>
          <w:pgMar w:top="362" w:right="1364" w:bottom="490" w:left="1440" w:header="720" w:footer="720" w:gutter="0"/>
          <w:cols w:space="720" w:num="2" w:equalWidth="0">
            <w:col w:w="5688" w:space="0"/>
            <w:col w:w="3414" w:space="0"/>
            <w:col w:w="9102" w:space="0"/>
            <w:col w:w="9813" w:space="0"/>
            <w:col w:w="9026" w:space="0"/>
            <w:col w:w="9104" w:space="0"/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tabs>
          <w:tab w:pos="720" w:val="left"/>
        </w:tabs>
        <w:autoSpaceDE w:val="0"/>
        <w:widowControl/>
        <w:spacing w:line="274" w:lineRule="exact" w:before="0" w:after="0"/>
        <w:ind w:left="0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 temperature the Dye Liquor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 temperature Dyeing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 auxiliaries compounds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4.6.1 Swelling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4.6.2 Levelling agents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Scouring after dyeing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5  Basic Operations in Dyeing Process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(08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8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the fibres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the dyebath, Application of the dyebath and  finishing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Various methods of dyeing: Direct dyeing, Vat dyeing, Mordant dyeing,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Disperse dyeing and Formation of dye on the fibre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Dyeing of wool with the acid dyes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Dyeing with the reactive dyes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6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Non Textile Uses of Dyes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82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Biological staining agents Methylene blue, Crystal violet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Dyes as therapeutics: Mercurochrome, Acriflavine, Crystal violet, Prontosil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Dyes used in food and cosmetics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Paper and Leather Dyes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Miscellaneous Dyes: Hair dyes, Laser dyes, Indicators, Security inks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46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 7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Pigments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(10 Hours)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8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Difference between Dyes and Pigments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pigments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of pigments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Raw materials for organic pigments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methods of processing and synthesis of inorganic pigments: Crushing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grinding, vaporization, co precipitation, filtration, drying, flushing,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calcinations/roasting, vapour phase oxidation etc.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8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Smart Dyes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(10 Hours)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82" w:after="0"/>
        <w:ind w:left="0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and types of Chromism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     Application of smart and functional Dyes in Textiles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8.2.1   Electrochromic dyes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8.2.2   Thermochromic dyes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8.2.3 Photochromic dyes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8.2.4 Chemochromic dyes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8.2.5 Solvatochromic dyes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8.2.6 Mechano chromic dyes </w:t>
      </w:r>
    </w:p>
    <w:p>
      <w:pPr>
        <w:autoSpaceDN w:val="0"/>
        <w:autoSpaceDE w:val="0"/>
        <w:widowControl/>
        <w:spacing w:line="197" w:lineRule="auto" w:before="41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type w:val="continuous"/>
          <w:pgSz w:w="11906" w:h="16838"/>
          <w:pgMar w:top="362" w:right="1364" w:bottom="490" w:left="1440" w:header="720" w:footer="720" w:gutter="0"/>
          <w:cols w:space="720" w:num="1" w:equalWidth="0">
            <w:col w:w="9102" w:space="0"/>
            <w:col w:w="5688" w:space="0"/>
            <w:col w:w="3414" w:space="0"/>
            <w:col w:w="9102" w:space="0"/>
            <w:col w:w="9813" w:space="0"/>
            <w:col w:w="9026" w:space="0"/>
            <w:col w:w="9104" w:space="0"/>
            <w:col w:w="10004" w:space="0"/>
            <w:col w:w="9106" w:space="0"/>
            <w:col w:w="9102" w:space="0"/>
            <w:col w:w="9813" w:space="0"/>
            <w:col w:w="9044" w:space="0"/>
            <w:col w:w="9102" w:space="0"/>
            <w:col w:w="98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322" w:lineRule="exact" w:before="30" w:after="0"/>
        <w:ind w:left="1728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SARVAJANIK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0000"/>
          <w:sz w:val="32"/>
        </w:rPr>
        <w:t xml:space="preserve">M.Sc. Organic Chemistry Syllabus (CBCS)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FOURTH SEMESTER </w:t>
      </w:r>
    </w:p>
    <w:p>
      <w:pPr>
        <w:autoSpaceDN w:val="0"/>
        <w:autoSpaceDE w:val="0"/>
        <w:widowControl/>
        <w:spacing w:line="230" w:lineRule="auto" w:before="736" w:after="0"/>
        <w:ind w:left="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 Books </w:t>
      </w:r>
    </w:p>
    <w:p>
      <w:pPr>
        <w:autoSpaceDN w:val="0"/>
        <w:autoSpaceDE w:val="0"/>
        <w:widowControl/>
        <w:spacing w:line="286" w:lineRule="exact" w:before="172" w:after="0"/>
        <w:ind w:left="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1.Color Chemistry,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Heinrich Zollinger, Wiley – VCH, 2003. </w:t>
      </w:r>
    </w:p>
    <w:p>
      <w:pPr>
        <w:autoSpaceDN w:val="0"/>
        <w:tabs>
          <w:tab w:pos="1204" w:val="left"/>
        </w:tabs>
        <w:autoSpaceDE w:val="0"/>
        <w:widowControl/>
        <w:spacing w:line="276" w:lineRule="exact" w:before="0" w:after="0"/>
        <w:ind w:left="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Organic Chemistry and Application Properties, John Shore, Society of Dyers &amp;Colourists;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2002.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 The Chemistry of Synthetic dyes, K. Venkataraman, 1971, Academic Press.  </w:t>
      </w:r>
    </w:p>
    <w:p>
      <w:pPr>
        <w:autoSpaceDN w:val="0"/>
        <w:autoSpaceDE w:val="0"/>
        <w:widowControl/>
        <w:spacing w:line="28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4. Industrial Inorganic Pigments, Gunter Buxbaum,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Wiley-VCH.  </w:t>
      </w:r>
    </w:p>
    <w:p>
      <w:pPr>
        <w:autoSpaceDN w:val="0"/>
        <w:autoSpaceDE w:val="0"/>
        <w:widowControl/>
        <w:spacing w:line="276" w:lineRule="exact" w:before="1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5. Industrial Organic Pigments: Production, Properties, Applications,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2006.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6. Application Properties of Pigments, A. Karnik,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1999. </w:t>
      </w:r>
    </w:p>
    <w:p>
      <w:pPr>
        <w:autoSpaceDN w:val="0"/>
        <w:autoSpaceDE w:val="0"/>
        <w:widowControl/>
        <w:spacing w:line="276" w:lineRule="exact" w:before="0" w:after="0"/>
        <w:ind w:left="3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  Chemistry of Synthetic Dyes and Pigments, Lubs H. A., Robert E. Krieger Publishing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Company, New York, 1977. </w:t>
      </w:r>
    </w:p>
    <w:p>
      <w:pPr>
        <w:autoSpaceDN w:val="0"/>
        <w:autoSpaceDE w:val="0"/>
        <w:widowControl/>
        <w:spacing w:line="266" w:lineRule="exact" w:before="10" w:after="0"/>
        <w:ind w:left="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 Chemistry of Synthetic Dyes – Vol I, Venkataraman, K., 1952, Academic Press. </w:t>
      </w:r>
    </w:p>
    <w:p>
      <w:pPr>
        <w:autoSpaceDN w:val="0"/>
        <w:autoSpaceDE w:val="0"/>
        <w:widowControl/>
        <w:spacing w:line="276" w:lineRule="exact" w:before="0" w:after="0"/>
        <w:ind w:left="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 Chemistry of Synthetic Dyes – Vol III, Venkataraman, K., 1972, Academic Press.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Colour and Chemical Constitution of Organic Dyes, Griffiths J., 1976, Academic Press.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Quantum Chemistry, Chandra A. K., 1979, Tata McGraw Hill. </w:t>
      </w:r>
    </w:p>
    <w:p>
      <w:pPr>
        <w:autoSpaceDN w:val="0"/>
        <w:tabs>
          <w:tab w:pos="1204" w:val="left"/>
        </w:tabs>
        <w:autoSpaceDE w:val="0"/>
        <w:widowControl/>
        <w:spacing w:line="276" w:lineRule="exact" w:before="0" w:after="0"/>
        <w:ind w:left="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12. Color Chemistry –Synthesis, Properties and Applications of Dyes and Pigments,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Zollinger H., 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1991, Weinheim – VCH. </w:t>
      </w:r>
    </w:p>
    <w:p>
      <w:pPr>
        <w:autoSpaceDN w:val="0"/>
        <w:autoSpaceDE w:val="0"/>
        <w:widowControl/>
        <w:spacing w:line="197" w:lineRule="auto" w:before="8594" w:after="0"/>
        <w:ind w:left="0" w:right="435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sectPr w:rsidR="00FC693F" w:rsidRPr="0006063C" w:rsidSect="00034616">
      <w:pgSz w:w="11906" w:h="16838"/>
      <w:pgMar w:top="362" w:right="1440" w:bottom="490" w:left="1408" w:header="720" w:footer="720" w:gutter="0"/>
      <w:cols w:space="720" w:num="1" w:equalWidth="0">
        <w:col w:w="9058" w:space="0"/>
        <w:col w:w="9102" w:space="0"/>
        <w:col w:w="5688" w:space="0"/>
        <w:col w:w="3414" w:space="0"/>
        <w:col w:w="9102" w:space="0"/>
        <w:col w:w="9813" w:space="0"/>
        <w:col w:w="9026" w:space="0"/>
        <w:col w:w="9104" w:space="0"/>
        <w:col w:w="10004" w:space="0"/>
        <w:col w:w="9106" w:space="0"/>
        <w:col w:w="9102" w:space="0"/>
        <w:col w:w="9813" w:space="0"/>
        <w:col w:w="9044" w:space="0"/>
        <w:col w:w="9102" w:space="0"/>
        <w:col w:w="981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mazon.com/s/ref=dp_byline_sr_book_1?ie=UTF8&amp;field-author=Mark+M.+Green&amp;text=Mark+M.+Green&amp;sort=relevancerank&amp;search-alias=books" TargetMode="External"/><Relationship Id="rId10" Type="http://schemas.openxmlformats.org/officeDocument/2006/relationships/hyperlink" Target="https://www.amazon.com/s/ref=dp_byline_sr_book_2?ie=UTF8&amp;field-author=Harold+A.+Wittcoff&amp;text=Harold+A.+Wittcoff&amp;sort=relevancerank&amp;search-alias=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