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30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82" w:after="0"/>
        <w:ind w:left="0" w:right="46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4" w:lineRule="exact" w:before="482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90" w:lineRule="exact" w:before="474" w:after="0"/>
        <w:ind w:left="19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Advanced Computing</w:t>
      </w:r>
    </w:p>
    <w:p>
      <w:pPr>
        <w:autoSpaceDN w:val="0"/>
        <w:autoSpaceDE w:val="0"/>
        <w:widowControl/>
        <w:spacing w:line="690" w:lineRule="exact" w:before="530" w:after="0"/>
        <w:ind w:left="0" w:right="3898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SEMESTER- 2</w:t>
      </w:r>
    </w:p>
    <w:p>
      <w:pPr>
        <w:autoSpaceDN w:val="0"/>
        <w:autoSpaceDE w:val="0"/>
        <w:widowControl/>
        <w:spacing w:line="298" w:lineRule="exact" w:before="368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31</w:t>
      </w:r>
    </w:p>
    <w:p>
      <w:pPr>
        <w:sectPr>
          <w:pgSz w:w="12240" w:h="15840"/>
          <w:pgMar w:top="10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5314"/>
        <w:gridCol w:w="5314"/>
      </w:tblGrid>
      <w:tr>
        <w:trPr>
          <w:trHeight w:hRule="exact" w:val="1094"/>
        </w:trPr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424"/>
        </w:trPr>
        <w:tc>
          <w:tcPr>
            <w:tcW w:type="dxa" w:w="10224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0" w:right="421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Semester 2</w:t>
            </w:r>
          </w:p>
        </w:tc>
      </w:tr>
      <w:tr>
        <w:trPr>
          <w:trHeight w:hRule="exact" w:val="728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Code</w:t>
            </w:r>
          </w:p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Tit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le</w:t>
            </w:r>
          </w:p>
        </w:tc>
        <w:tc>
          <w:tcPr>
            <w:tcW w:type="dxa" w:w="179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36" w:lineRule="exact" w:before="52" w:after="0"/>
              <w:ind w:left="13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per week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</w:tabs>
              <w:autoSpaceDE w:val="0"/>
              <w:widowControl/>
              <w:spacing w:line="386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Credits</w:t>
            </w:r>
          </w:p>
        </w:tc>
        <w:tc>
          <w:tcPr>
            <w:tcW w:type="dxa" w:w="176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Examination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160" w:right="144" w:hanging="1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0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</w:tr>
      <w:tr>
        <w:trPr>
          <w:trHeight w:hRule="exact" w:val="264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Theory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Practical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Duration</w:t>
            </w:r>
          </w:p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C-3 Mobile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velopment - 1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C-4 Machine Learning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-2 Advanced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4068"/>
        </w:trPr>
        <w:tc>
          <w:tcPr>
            <w:tcW w:type="dxa" w:w="10224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0" w:val="left"/>
              </w:tabs>
              <w:autoSpaceDE w:val="0"/>
              <w:widowControl/>
              <w:spacing w:line="464" w:lineRule="exact" w:before="0" w:after="0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NOTE: Follo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ing subjects are listed as elective subjects of semester.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ELECTIVE SUBJECTS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6.0" w:type="dxa"/>
            </w:tblPr>
            <w:tblGrid>
              <w:gridCol w:w="5112"/>
              <w:gridCol w:w="5112"/>
            </w:tblGrid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6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Cyber Security and Forensics-2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4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UI/UX development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6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Advanced Cloud Programming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6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Research in computing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6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Web Programming - 2 (NodeJS)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461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32</w:t>
      </w:r>
    </w:p>
    <w:p>
      <w:pPr>
        <w:sectPr>
          <w:pgSz w:w="12240" w:h="15840"/>
          <w:pgMar w:top="108" w:right="520" w:bottom="478" w:left="1092" w:header="720" w:footer="720" w:gutter="0"/>
          <w:cols w:space="720" w:num="1" w:equalWidth="0"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269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DSC-3 Mobile Application Development –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Mobile Application Development - 1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introduce the most demanding android open source technology</w:t>
            </w:r>
          </w:p>
        </w:tc>
      </w:tr>
      <w:tr>
        <w:trPr>
          <w:trHeight w:hRule="exact" w:val="9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To make students understand advanced concepts of mobile app technology.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To make students understand various inbuilt features of android.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 To make students understand the android design essentials.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To make students understand android user interface design basics .</w:t>
            </w: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Pre-requisite Fundamentals of web technologies and fundamentals related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mobile OS.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have knowledge about android which is widely used Mobile OS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open source technology and its concepts. Various features of android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Design Essentials, User Interface Design Essentials, Use of Common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Android APIs, data storage using SQLite and Firebase and deploying Android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application.</w:t>
            </w:r>
          </w:p>
        </w:tc>
      </w:tr>
      <w:tr>
        <w:trPr>
          <w:trHeight w:hRule="exact" w:val="2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7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8" w:val="left"/>
                <w:tab w:pos="1100" w:val="left"/>
              </w:tabs>
              <w:autoSpaceDE w:val="0"/>
              <w:widowControl/>
              <w:spacing w:line="238" w:lineRule="exact" w:before="68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android and it’s tool chain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Architecture Of Android OS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Android Development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1.2.1. Android SDK and SDK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1.2.2. The Android Virtual Device, Emulator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1.2.3. Dalvik Debug Monitor Service (DDMS)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1.2.4. Android Debug Bridge (ADB)</w:t>
            </w:r>
          </w:p>
          <w:p>
            <w:pPr>
              <w:autoSpaceDN w:val="0"/>
              <w:tabs>
                <w:tab w:pos="748" w:val="left"/>
                <w:tab w:pos="772" w:val="left"/>
                <w:tab w:pos="1078" w:val="left"/>
                <w:tab w:pos="1098" w:val="left"/>
                <w:tab w:pos="1100" w:val="left"/>
              </w:tabs>
              <w:autoSpaceDE w:val="0"/>
              <w:widowControl/>
              <w:spacing w:line="238" w:lineRule="exact" w:before="242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Android - Key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Components Of Android Application - Activities, Services,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Broadcast, Receivers, Content Providers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Directory Structure of Android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2.2.1. AndroidManifest.xml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2.2.2. Layouts &amp; Drawable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2.2.3 Activity Java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2.2.4 Gradle</w:t>
            </w:r>
          </w:p>
          <w:p>
            <w:pPr>
              <w:autoSpaceDN w:val="0"/>
              <w:autoSpaceDE w:val="0"/>
              <w:widowControl/>
              <w:spacing w:line="238" w:lineRule="exact" w:before="242" w:after="0"/>
              <w:ind w:left="772" w:right="1152" w:hanging="6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Layout and Advanced UI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Layouts and its attributes - Linear, Relative, Constraint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Scrollview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Webview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Seekbar, Rating bar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Recyclerview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3.6 Alert Dialog</w:t>
            </w:r>
          </w:p>
          <w:p>
            <w:pPr>
              <w:autoSpaceDN w:val="0"/>
              <w:autoSpaceDE w:val="0"/>
              <w:widowControl/>
              <w:spacing w:line="236" w:lineRule="exact" w:before="222" w:after="0"/>
              <w:ind w:left="772" w:right="316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Navigating across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Intent and Intent Filters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 Menus - context, pop-up, options</w:t>
            </w:r>
          </w:p>
        </w:tc>
      </w:tr>
    </w:tbl>
    <w:p>
      <w:pPr>
        <w:autoSpaceDN w:val="0"/>
        <w:autoSpaceDE w:val="0"/>
        <w:widowControl/>
        <w:spacing w:line="298" w:lineRule="exact" w:before="2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33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6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772" w:right="43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Tab layout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Navigation Drawer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4.5 Linkify</w:t>
            </w:r>
          </w:p>
          <w:p>
            <w:pPr>
              <w:autoSpaceDN w:val="0"/>
              <w:tabs>
                <w:tab w:pos="714" w:val="left"/>
                <w:tab w:pos="766" w:val="left"/>
              </w:tabs>
              <w:autoSpaceDE w:val="0"/>
              <w:widowControl/>
              <w:spacing w:line="236" w:lineRule="exact" w:before="246" w:after="0"/>
              <w:ind w:left="106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Using Shared preferences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Purpose of Shared Preferences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Shared Preference Modes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Writing to shared Preferences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Methods of editor class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5.5 Reading from Shared Preference</w:t>
            </w:r>
          </w:p>
          <w:p>
            <w:pPr>
              <w:autoSpaceDN w:val="0"/>
              <w:autoSpaceDE w:val="0"/>
              <w:widowControl/>
              <w:spacing w:line="236" w:lineRule="exact" w:before="246" w:after="0"/>
              <w:ind w:left="882" w:right="432" w:hanging="7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Preserving and Saving data in Local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Introduction to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SqliteOpenHelper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 SQlite Methods - ExecSQL, Rawquery, Insert, Update, Delete</w:t>
            </w:r>
          </w:p>
          <w:p>
            <w:pPr>
              <w:autoSpaceDN w:val="0"/>
              <w:autoSpaceDE w:val="0"/>
              <w:widowControl/>
              <w:spacing w:line="236" w:lineRule="exact" w:before="246" w:after="0"/>
              <w:ind w:left="766" w:right="331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Handling Data with Firebase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Introduction to Firebase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Firebase - Environmental Setup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Writing Data to the Firebase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7.4 Reading data</w:t>
            </w:r>
          </w:p>
          <w:p>
            <w:pPr>
              <w:autoSpaceDN w:val="0"/>
              <w:tabs>
                <w:tab w:pos="766" w:val="left"/>
                <w:tab w:pos="778" w:val="left"/>
                <w:tab w:pos="1054" w:val="left"/>
              </w:tabs>
              <w:autoSpaceDE w:val="0"/>
              <w:widowControl/>
              <w:spacing w:line="236" w:lineRule="exact" w:before="246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Working with other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Geocoding and reverse Geocoding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Audio, Video and Using the Camera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8.2.1. Playing and recording Audio and Video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8.2.2. Working with the Camera</w:t>
            </w:r>
          </w:p>
        </w:tc>
      </w:tr>
      <w:tr>
        <w:trPr>
          <w:trHeight w:hRule="exact" w:val="368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6.00000000000023" w:type="dxa"/>
            </w:tblPr>
            <w:tblGrid>
              <w:gridCol w:w="3625"/>
              <w:gridCol w:w="3625"/>
            </w:tblGrid>
            <w:tr>
              <w:trPr>
                <w:trHeight w:hRule="exact" w:val="335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2" w:lineRule="exact" w:before="0" w:after="0"/>
                    <w:ind w:left="196" w:right="8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4.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5.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6.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7.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>8.</w:t>
                  </w:r>
                </w:p>
              </w:tc>
              <w:tc>
                <w:tcPr>
                  <w:tcW w:type="dxa" w:w="65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0" w:val="left"/>
                    </w:tabs>
                    <w:autoSpaceDE w:val="0"/>
                    <w:widowControl/>
                    <w:spacing w:line="274" w:lineRule="exact" w:before="22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Professional Android 4 Application Development Reto Meier, WROX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Publication-2015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Android for Programmers-An App Driven Approach, Deitel, Deitel,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Deitel and Morgano, Pearson Publication-2012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Android Programming Unleashed, Harwani, Pearson Publication-2013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Professional Android Programming-with MONO McClure,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Blevins, Croft, Dick and Hardy, Wiley India-2012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Android application development for java programmer, James C Sheusi,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Cenage Learning-2013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Android Essentials, Chris Haseman, Apress Publication, 2009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 xml:space="preserve">Beginning Android, Mark L Murphy, Wiley India Pvt Ltd, 2009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2222"/>
                      <w:sz w:val="22"/>
                    </w:rPr>
                    <w:t>Pro Android, Sayed Y Hashimi and Satya Komatineni, Wiley India Pvt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6" w:lineRule="exact" w:before="4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Ltd, APress-2009</w:t>
            </w:r>
          </w:p>
        </w:tc>
      </w:tr>
      <w:tr>
        <w:trPr>
          <w:trHeight w:hRule="exact" w:val="25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6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34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102" w:val="left"/>
          <w:tab w:pos="9634" w:val="left"/>
        </w:tabs>
        <w:autoSpaceDE w:val="0"/>
        <w:widowControl/>
        <w:spacing w:line="240" w:lineRule="auto" w:before="0" w:after="0"/>
        <w:ind w:left="34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42" w:after="39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DCS-4 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75"/>
        <w:gridCol w:w="5375"/>
      </w:tblGrid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DCS -4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Machine Learning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21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, methods andtoolrelated to machinelearning</w:t>
            </w:r>
          </w:p>
        </w:tc>
      </w:tr>
      <w:tr>
        <w:trPr>
          <w:trHeight w:hRule="exact" w:val="77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3625"/>
              <w:gridCol w:w="3625"/>
            </w:tblGrid>
            <w:tr>
              <w:trPr>
                <w:trHeight w:hRule="exact" w:val="75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6" w:after="0"/>
                    <w:ind w:left="60" w:right="82" w:firstLine="0"/>
                    <w:jc w:val="both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about fundamentals of machine learning.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and implement different types of ML algorithms.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implement and evaluate various case studies of Machine Learning.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and Knowledge of Python Programming</w:t>
            </w:r>
          </w:p>
        </w:tc>
      </w:tr>
      <w:tr>
        <w:trPr>
          <w:trHeight w:hRule="exact" w:val="5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implement predictive analytics on social media platforms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3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662" w:right="3168" w:hanging="55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Machine Learning: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Types of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Types of Problem in 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Machine Learning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New Challenges for ML</w:t>
            </w:r>
          </w:p>
          <w:p>
            <w:pPr>
              <w:autoSpaceDN w:val="0"/>
              <w:tabs>
                <w:tab w:pos="660" w:val="left"/>
                <w:tab w:pos="662" w:val="left"/>
                <w:tab w:pos="1156" w:val="left"/>
              </w:tabs>
              <w:autoSpaceDE w:val="0"/>
              <w:widowControl/>
              <w:spacing w:line="252" w:lineRule="exact" w:before="256" w:after="0"/>
              <w:ind w:left="2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Association Learning: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.1 Concept of Association Rule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Market-Basket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Support and Confidence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Algorithms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2.4.1 Apriori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2.4.2 FP-Growth</w:t>
            </w:r>
          </w:p>
          <w:p>
            <w:pPr>
              <w:autoSpaceDN w:val="0"/>
              <w:autoSpaceDE w:val="0"/>
              <w:widowControl/>
              <w:spacing w:line="252" w:lineRule="exact" w:before="244" w:after="0"/>
              <w:ind w:left="660" w:right="3168" w:hanging="65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Supervised Learning - Regression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Linear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Polynomial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Logistic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 Evaluation Metrics for Regression</w:t>
            </w:r>
          </w:p>
          <w:p>
            <w:pPr>
              <w:autoSpaceDN w:val="0"/>
              <w:tabs>
                <w:tab w:pos="768" w:val="left"/>
                <w:tab w:pos="772" w:val="left"/>
                <w:tab w:pos="1046" w:val="left"/>
              </w:tabs>
              <w:autoSpaceDE w:val="0"/>
              <w:widowControl/>
              <w:spacing w:line="246" w:lineRule="exact" w:before="518" w:after="0"/>
              <w:ind w:left="108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Supervised Learning - Classification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Classification : Examples and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NB, SVM. KNN Classifiers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Decision Trees : C4.5, ID3, Random Forest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Ensemble Classifiers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4.5 Evaluation Metrics for Classification</w:t>
            </w:r>
          </w:p>
        </w:tc>
      </w:tr>
    </w:tbl>
    <w:p>
      <w:pPr>
        <w:autoSpaceDN w:val="0"/>
        <w:autoSpaceDE w:val="0"/>
        <w:widowControl/>
        <w:spacing w:line="298" w:lineRule="exact" w:before="1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</w:t>
      </w:r>
    </w:p>
    <w:p>
      <w:pPr>
        <w:sectPr>
          <w:pgSz w:w="12240" w:h="15840"/>
          <w:pgMar w:top="108" w:right="520" w:bottom="478" w:left="970" w:header="720" w:footer="720" w:gutter="0"/>
          <w:cols w:space="720" w:num="1" w:equalWidth="0"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5375"/>
        <w:gridCol w:w="5375"/>
      </w:tblGrid>
      <w:tr>
        <w:trPr>
          <w:trHeight w:hRule="exact" w:val="109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75"/>
        <w:gridCol w:w="5375"/>
      </w:tblGrid>
      <w:tr>
        <w:trPr>
          <w:trHeight w:hRule="exact" w:val="885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988" w:val="left"/>
                <w:tab w:pos="1102" w:val="left"/>
              </w:tabs>
              <w:autoSpaceDE w:val="0"/>
              <w:widowControl/>
              <w:spacing w:line="252" w:lineRule="exact" w:before="52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Artificial Neural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Neurons and biological motivation and Defining ANN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Layers and Multilayer Perceptron, weights, bias,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Activation Function, Loss function, Epochs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limitation and gradient descent training.</w:t>
            </w:r>
          </w:p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252" w:lineRule="exact" w:before="46" w:after="0"/>
              <w:ind w:left="71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Types of Neural Network- Feed Forward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Neural Network, Backpropagation Neural Network,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Error calculation in 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5.5 Learning in ANN and Learning Rate</w:t>
            </w:r>
          </w:p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50" w:lineRule="exact" w:before="260" w:after="0"/>
              <w:ind w:left="2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Unsupervised Learning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 Learning from unclassified data. Clustering.</w:t>
            </w:r>
          </w:p>
          <w:p>
            <w:pPr>
              <w:autoSpaceDN w:val="0"/>
              <w:tabs>
                <w:tab w:pos="1100" w:val="left"/>
              </w:tabs>
              <w:autoSpaceDE w:val="0"/>
              <w:widowControl/>
              <w:spacing w:line="254" w:lineRule="exact" w:before="44" w:after="0"/>
              <w:ind w:left="660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Hierarchical Aglomerative Clustering, k-means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partitional clustering.</w:t>
            </w:r>
          </w:p>
          <w:p>
            <w:pPr>
              <w:autoSpaceDN w:val="0"/>
              <w:autoSpaceDE w:val="0"/>
              <w:widowControl/>
              <w:spacing w:line="254" w:lineRule="exact" w:before="42" w:after="0"/>
              <w:ind w:left="988" w:right="1440" w:hanging="3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Expectation maximization (EM) for soft clustering.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Semi-supervised learning with EM using labeled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unlabled data.</w:t>
            </w:r>
          </w:p>
          <w:p>
            <w:pPr>
              <w:autoSpaceDN w:val="0"/>
              <w:autoSpaceDE w:val="0"/>
              <w:widowControl/>
              <w:spacing w:line="254" w:lineRule="exact" w:before="44" w:after="0"/>
              <w:ind w:left="662" w:right="4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Self Organizing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Hidden Markov Models</w:t>
            </w:r>
          </w:p>
          <w:p>
            <w:pPr>
              <w:autoSpaceDN w:val="0"/>
              <w:tabs>
                <w:tab w:pos="662" w:val="left"/>
                <w:tab w:pos="992" w:val="left"/>
              </w:tabs>
              <w:autoSpaceDE w:val="0"/>
              <w:widowControl/>
              <w:spacing w:line="252" w:lineRule="exact" w:before="256" w:after="0"/>
              <w:ind w:left="5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Model Validation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ML Techniques overview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Validation Techniques (Cross-Validations)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Feature Reduction/Dimensionality reduction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Principal components analysis (Eigen values, Eigen vectors,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Orthogonality)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Generalization, Overfitting, and Underfitting,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Relation of Model Complexity to Dataset Size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772" w:right="2880" w:hanging="7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Advanced Machine Learning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Reinforcement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Transfer Learning,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 Federated Learning</w:t>
            </w:r>
          </w:p>
        </w:tc>
      </w:tr>
      <w:tr>
        <w:trPr>
          <w:trHeight w:hRule="exact" w:val="305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Text and Refe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 AI an Machine Learning, Vinod Chandra SS, Anans Hareendran S.</w:t>
            </w:r>
          </w:p>
          <w:p>
            <w:pPr>
              <w:autoSpaceDN w:val="0"/>
              <w:tabs>
                <w:tab w:pos="332" w:val="left"/>
                <w:tab w:pos="442" w:val="left"/>
              </w:tabs>
              <w:autoSpaceDE w:val="0"/>
              <w:widowControl/>
              <w:spacing w:line="356" w:lineRule="exact" w:before="0" w:after="0"/>
              <w:ind w:left="112" w:right="100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PHI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Machine Learning with Python, Abhishek Vijayvargia, BPB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Machine Learning Hand-On for Developers and Technical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Professionals, Jason Bell,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Machine Learning for Beginners: Learn to Build Machine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Systems Using Python , Harsh Bhasin, BPB Publication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Machine Learning - Tom M. Mitchell, McgrewHill Publication</w:t>
            </w:r>
          </w:p>
        </w:tc>
      </w:tr>
      <w:tr>
        <w:trPr>
          <w:trHeight w:hRule="exact" w:val="25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</w:t>
      </w:r>
    </w:p>
    <w:p>
      <w:pPr>
        <w:sectPr>
          <w:pgSz w:w="12240" w:h="15840"/>
          <w:pgMar w:top="108" w:right="520" w:bottom="478" w:left="970" w:header="720" w:footer="720" w:gutter="0"/>
          <w:cols w:space="720" w:num="1" w:equalWidth="0"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270" w:after="162"/>
        <w:ind w:left="0" w:right="327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203 SEC 2 : Advanced Python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878"/>
        </w:trPr>
        <w:tc>
          <w:tcPr>
            <w:tcW w:type="dxa" w:w="10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050"/>
              <w:gridCol w:w="5050"/>
            </w:tblGrid>
            <w:tr>
              <w:trPr>
                <w:trHeight w:hRule="exact" w:val="26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Code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Title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Advanced Python Programming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Credit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Teaching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eek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 Hrs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Minimum weeks per Semester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Last Review / Revision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Purpose of Course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210" w:right="129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The purpose of the course is to make students capable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advanced python programming with advanced libraries of data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modelling, data visualization and deep learning.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Objec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ive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1.999999999999886" w:type="dxa"/>
                  </w:tblPr>
                  <w:tblGrid>
                    <w:gridCol w:w="3531"/>
                    <w:gridCol w:w="3531"/>
                  </w:tblGrid>
                  <w:tr>
                    <w:trPr>
                      <w:trHeight w:hRule="exact" w:val="566"/>
                    </w:trPr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</w:p>
                    </w:tc>
                    <w:tc>
                      <w:tcPr>
                        <w:tcW w:type="dxa" w:w="6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exact" w:before="56" w:after="0"/>
                          <w:ind w:left="116" w:right="43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To learn about fundamental of advanced python programming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To learn python programming with advanced libraries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68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Pre-requisite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NIL</w:t>
                  </w:r>
                </w:p>
              </w:tc>
            </w:tr>
            <w:tr>
              <w:trPr>
                <w:trHeight w:hRule="exact" w:val="73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Out come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8" w:after="0"/>
                    <w:ind w:left="2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After completion of this course, the student will be capable to understand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fundamental concepts statistics, probability , regression, mathematics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advanced operations of computing using python.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046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Conte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54" w:after="0"/>
                    <w:ind w:left="772" w:right="1872" w:hanging="66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1 Fast Array Operations with Numpy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1.1 Creating, Accessing, broadcasting arrays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1.2 Mathematical operations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1.3 Calculating the norm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1.4 Reaching optimal performance with numexpr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6" w:after="0"/>
                    <w:ind w:left="880" w:right="0" w:hanging="878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2 Pandas and Advanced Database Operations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Pandas fundamentals </w:t>
                      </w:r>
                    </w:hyperlink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Indexing Series and DataFrame objects </w:t>
                      </w:r>
                    </w:hyperlink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Database-style operations with Pandas 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hyperlink r:id="rId12" w:history="1">
                      <w:r>
                        <w:rPr>
                          <w:rStyle w:val="Hyperlink"/>
                        </w:rPr>
                        <w:t>Mapping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and Grouping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2.4 Aggregations and transforms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2.5 Joining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2.6 Graph Plots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6" w:after="0"/>
                    <w:ind w:left="990" w:right="2448" w:hanging="988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3 MatplotLib for Data Visualization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3.1 Installation and Setup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3.2 Basic Plots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3.3 Ploting Mutiple Graphs and Subplots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3.4 Embedding Text and Expressions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3.5 Saving the figure in different formats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6" w:after="0"/>
                    <w:ind w:left="772" w:right="2448" w:hanging="77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4 Seaborn for Data Visualization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4.1 Importing Datasets and Libraries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4.2 Pie, bar, Scatter, Heatmaps in Seaborn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4.3 Styleing Charts using Seaborn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4.4 Searborn Multipanel and Facet Plots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exact" w:before="236" w:after="0"/>
                    <w:ind w:left="772" w:right="2736" w:hanging="664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5 SciKitLearn and Prediction Models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5.1 Binary and Multiclass Classification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5.2 Performance Measures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5.3 Naive Bays Implementation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5.4 Training and Testing SVM Models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60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05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77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Training and Testing Decision Tree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Ensemble Learning and Random Forest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5.7 Linear and Logistic Regression Implementation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772" w:right="2160" w:hanging="77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Tensorflow and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Tensor Data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Tensorboard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Tensorflow Linear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Single layer Perceptron using Tensorflow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662" w:right="2736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Flask and Web Application Basics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Flask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Web Application and Page Creation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Routing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HTTP Methods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Templates and Static Files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Deploying ML/DL Projects on Flask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662" w:right="43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Deploying application using Flask and Heroku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Creating the Python Flask Example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Deploying the Application to Heroku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Using Heroku Pipelines to Implement a Deployment Workflow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Managing Environment</w:t>
                </w:r>
              </w:hyperlink>
            </w:r>
          </w:p>
        </w:tc>
      </w:tr>
      <w:tr>
        <w:trPr>
          <w:trHeight w:hRule="exact" w:val="684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531"/>
              <w:gridCol w:w="3531"/>
            </w:tblGrid>
            <w:tr>
              <w:trPr>
                <w:trHeight w:hRule="exact" w:val="6622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4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74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100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4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</w:t>
                  </w:r>
                </w:p>
              </w:tc>
              <w:tc>
                <w:tcPr>
                  <w:tcW w:type="dxa" w:w="67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Discrete Mathematics - Sujit Chavan, Nandani Sakhare, HImalaya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Publishing House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88" w:after="0"/>
                    <w:ind w:left="11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Oriented Statistical Techniques - Dinesh Gabhane, Madhuri 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Banker, HImalaya Publishig House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284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Linear Algebra using Python - Archana Jadhav, Nandini Sakhare, Himalya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Publishing House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86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Python Data Science FOR Dummies - John Paul Mueller, Luca Massaron 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Wiley 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282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MatplotLib Cook Book 3.0 By Alexandre Devert Packt Publishing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https://github.com/PacktPublishing/Matplotlib-3.0-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Cookbook/tree/master/Chapter08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282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Hands On Machine Learning with Scikit Learn and TensorFlow O relly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Publication Aurelien Geron https://github.com/yanshengjia/ml-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road/blob/master/resources/Hands%20On%20Machine%20Learning%20w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ith%20Scikit%20Learn%20and%20TensorFlow.pdf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86" w:after="0"/>
                    <w:ind w:left="11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 Science for Business, Tom Fawcett, Foster Provost , O’relly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24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Python Data Science Handbook, Jake VanderPlas, O’relly Publication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531"/>
              <w:gridCol w:w="3531"/>
            </w:tblGrid>
            <w:tr>
              <w:trPr>
                <w:trHeight w:hRule="exact" w:val="348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9.</w:t>
                  </w:r>
                </w:p>
              </w:tc>
              <w:tc>
                <w:tcPr>
                  <w:tcW w:type="dxa" w:w="61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Core Python Programming, Nageshwar Rao, dreamtech press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8" w:lineRule="exact" w:before="18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 Flask Web Development Miguel Grinberg, O’relly Publication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76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50" w:lineRule="exact" w:before="46" w:after="0"/>
              <w:ind w:left="2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89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270" w:after="222"/>
        <w:ind w:left="0" w:right="34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Elective: Cyber Security and Forensics-2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Cyber Security and Computer Forensics-2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2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Conceptualize the students with the concepts of computer forensics methodology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08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Familiarization with different objectives associated with different forensic techniques.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stages of forensic investigation process life cycle can focus on broad idea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forensic process.</w:t>
            </w:r>
          </w:p>
        </w:tc>
      </w:tr>
      <w:tr>
        <w:trPr>
          <w:trHeight w:hRule="exact" w:val="55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knowledge of Cyber security, Information security, computer network, operating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systems and hardware mechanism of IT peripherals.</w:t>
            </w:r>
          </w:p>
        </w:tc>
      </w:tr>
      <w:tr>
        <w:trPr>
          <w:trHeight w:hRule="exact" w:val="7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 Get familiar with different stages of forensic life cycle.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8" w:right="1008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Get aware about different methodologies of forensic investigation process.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Get equipped with different forensic investing tool.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Couse Descri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8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terminology associated with forensic investigation process, types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forensic technology, data recovery, evidence collection and data seizure,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duplication and preservation of digital evidence, computer image verification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authentication, reconstructing past event to collect evidence. Moreover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forensic investigation process of computer, network, e mail, android, i-phone,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printer, scanner, pda etc. is covered as subject content.</w:t>
            </w:r>
          </w:p>
        </w:tc>
      </w:tr>
      <w:tr>
        <w:trPr>
          <w:trHeight w:hRule="exact" w:val="575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362" w:right="3600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Mobile application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1.1.Issues in mobile devices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1.2.Securing mobile app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1.3.Bluetooth &amp; SMS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1.4.Android, IOS , Windows Mobile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1.5.Enterprise security on mobile OS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1.6.Mobile Malware’s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1.7.Mobile resource privacy concern</w:t>
            </w:r>
          </w:p>
          <w:p>
            <w:pPr>
              <w:autoSpaceDN w:val="0"/>
              <w:tabs>
                <w:tab w:pos="662" w:val="left"/>
                <w:tab w:pos="690" w:val="left"/>
              </w:tabs>
              <w:autoSpaceDE w:val="0"/>
              <w:widowControl/>
              <w:spacing w:line="290" w:lineRule="exact" w:before="260" w:after="0"/>
              <w:ind w:left="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Cloud storage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Security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Security boundaries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Key points to CSA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Understanding data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Working of brokered cloud storage access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2.7 Managing cloud operations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2.8 Cloud</w:t>
            </w:r>
          </w:p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86" w:lineRule="exact" w:before="264" w:after="0"/>
              <w:ind w:left="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Practical’s &amp; Case Studies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 Various commands: ping, tracert, ipconfig, netstat, netstat, arp, nbtstat,</w:t>
            </w:r>
          </w:p>
        </w:tc>
      </w:tr>
    </w:tbl>
    <w:p>
      <w:pPr>
        <w:autoSpaceDN w:val="0"/>
        <w:autoSpaceDE w:val="0"/>
        <w:widowControl/>
        <w:spacing w:line="298" w:lineRule="exact" w:before="1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302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" w:after="0"/>
              <w:ind w:left="690" w:right="3024" w:firstLine="41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hostname, tracert, nslookup, route, pathping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Using vmware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Configuring and using firewall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SQL Injection examples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 DOS Attack examples</w:t>
            </w:r>
          </w:p>
          <w:p>
            <w:pPr>
              <w:autoSpaceDN w:val="0"/>
              <w:tabs>
                <w:tab w:pos="662" w:val="left"/>
                <w:tab w:pos="1442" w:val="left"/>
              </w:tabs>
              <w:autoSpaceDE w:val="0"/>
              <w:widowControl/>
              <w:spacing w:line="290" w:lineRule="exact" w:before="296" w:after="0"/>
              <w:ind w:left="2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Forensic investigation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E-discovery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EDRM Models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Autopsy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Encrypted disk detector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4.4.</w:t>
            </w:r>
          </w:p>
          <w:p>
            <w:pPr>
              <w:autoSpaceDN w:val="0"/>
              <w:tabs>
                <w:tab w:pos="1442" w:val="left"/>
              </w:tabs>
              <w:autoSpaceDE w:val="0"/>
              <w:widowControl/>
              <w:spacing w:line="292" w:lineRule="exact" w:before="6" w:after="0"/>
              <w:ind w:left="662" w:right="51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 miner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Ram capture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4.7.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Splunk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4.8.</w:t>
            </w:r>
          </w:p>
          <w:p>
            <w:pPr>
              <w:autoSpaceDN w:val="0"/>
              <w:tabs>
                <w:tab w:pos="1430" w:val="left"/>
                <w:tab w:pos="1442" w:val="left"/>
              </w:tabs>
              <w:autoSpaceDE w:val="0"/>
              <w:widowControl/>
              <w:spacing w:line="290" w:lineRule="exact" w:before="8" w:after="0"/>
              <w:ind w:left="66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4.9.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Xplico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4.10.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4.10.1 Introduction to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4.10.2 Network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4.10.3 Automated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4.10.4 Introduction to Penetration Testing Tools</w:t>
            </w:r>
          </w:p>
          <w:p>
            <w:pPr>
              <w:autoSpaceDN w:val="0"/>
              <w:autoSpaceDE w:val="0"/>
              <w:widowControl/>
              <w:spacing w:line="290" w:lineRule="exact" w:before="298" w:after="0"/>
              <w:ind w:left="690" w:right="3456" w:hanging="68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Windows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Volatile and non volatile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Registry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Browser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File system and meta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Event log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 Crash dump analysis</w:t>
            </w:r>
          </w:p>
          <w:p>
            <w:pPr>
              <w:autoSpaceDN w:val="0"/>
              <w:tabs>
                <w:tab w:pos="662" w:val="left"/>
                <w:tab w:pos="690" w:val="left"/>
              </w:tabs>
              <w:autoSpaceDE w:val="0"/>
              <w:widowControl/>
              <w:spacing w:line="290" w:lineRule="exact" w:before="260" w:after="0"/>
              <w:ind w:left="2" w:right="30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Network forensic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Understanding protocols with wireshark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Packet capture using wireshark and tcpdump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Packet filtering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Investigating network traffic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6.5 Network component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6.6 Router forensic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6.7 Network log analysis</w:t>
            </w:r>
          </w:p>
          <w:p>
            <w:pPr>
              <w:autoSpaceDN w:val="0"/>
              <w:autoSpaceDE w:val="0"/>
              <w:widowControl/>
              <w:spacing w:line="290" w:lineRule="exact" w:before="260" w:after="0"/>
              <w:ind w:left="662" w:right="2880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Wireless network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Forensic analysis of hand held devices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Proliferation and diversity of hand held devices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Personal security and RFID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GPS Jamming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Capturing wireless traffic</w:t>
            </w:r>
          </w:p>
        </w:tc>
      </w:tr>
    </w:tbl>
    <w:p>
      <w:pPr>
        <w:autoSpaceDN w:val="0"/>
        <w:autoSpaceDE w:val="0"/>
        <w:widowControl/>
        <w:spacing w:line="298" w:lineRule="exact" w:before="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41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5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6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7.6 Wearable device forensic</w:t>
            </w:r>
          </w:p>
          <w:p>
            <w:pPr>
              <w:autoSpaceDN w:val="0"/>
              <w:autoSpaceDE w:val="0"/>
              <w:widowControl/>
              <w:spacing w:line="290" w:lineRule="exact" w:before="258" w:after="0"/>
              <w:ind w:left="662" w:right="1440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Cloud forensics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Introduction to cloud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Challenges faced by CSP due to international law enforcement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Cloud storage forensic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Google drive and Drop box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 Case study</w:t>
            </w:r>
          </w:p>
        </w:tc>
      </w:tr>
      <w:tr>
        <w:trPr>
          <w:trHeight w:hRule="exact" w:val="224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books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072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6" w:after="0"/>
                    <w:ind w:left="12" w:right="8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29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forensic by John R. Vacca, Firewall media,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forensic, Nina godbole, sunit belapure, wiley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Wireless crime and forensic investigation, Gregory kipper, Auerbach publication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(Tallor and Francis group)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Computer forensic and cyber crime 3</w:t>
                  </w:r>
                  <w:r>
                    <w:rPr>
                      <w:w w:val="101.428570066179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rd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edition, by Marjie Britz, Pearson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forensic investigation network intrusion and cyber crime EC Council, course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technology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4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course is composed of Lectures, assignments and a group project.</w:t>
            </w:r>
          </w:p>
        </w:tc>
      </w:tr>
      <w:tr>
        <w:trPr>
          <w:trHeight w:hRule="exact" w:val="75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0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270" w:after="222"/>
        <w:ind w:left="0" w:right="40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Elective: UI/UX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UI/UX Development</w:t>
            </w:r>
          </w:p>
        </w:tc>
      </w:tr>
      <w:tr>
        <w:trPr>
          <w:trHeight w:hRule="exact" w:val="262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62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1274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is make relevant &amp; up to-date in the digital world with the deep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understanding of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 UX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Learn to create persuasive user experience &amp; get an 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 the others. It is design-centric approach to user interface and user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design, and offers practical, skill-based instruction centered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visual communications perspective.</w:t>
            </w:r>
          </w:p>
        </w:tc>
      </w:tr>
      <w:tr>
        <w:trPr>
          <w:trHeight w:hRule="exact" w:val="862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4" w:after="0"/>
              <w:ind w:left="2" w:right="63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UI design is about the look and feel of the website or application. 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improves the overall experience of the users when they interact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with the website or application.</w:t>
            </w:r>
          </w:p>
        </w:tc>
      </w:tr>
      <w:tr>
        <w:trPr>
          <w:trHeight w:hRule="exact" w:val="556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Knowledge of software designing &amp; prototyping is required.</w:t>
            </w:r>
          </w:p>
        </w:tc>
      </w:tr>
      <w:tr>
        <w:trPr>
          <w:trHeight w:hRule="exact" w:val="3146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174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On successful completion of this subject, a student will be able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3.99999999999977" w:type="dxa"/>
            </w:tblPr>
            <w:tblGrid>
              <w:gridCol w:w="3625"/>
              <w:gridCol w:w="3625"/>
            </w:tblGrid>
            <w:tr>
              <w:trPr>
                <w:trHeight w:hRule="exact" w:val="242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0" w:lineRule="exact" w:before="0" w:after="0"/>
                    <w:ind w:left="188" w:right="12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6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00" w:after="0"/>
                    <w:ind w:left="14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Describe aspects of user interaction and cognition as they relate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UI/UX.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14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Explain the role and importance of Standards, Technologies,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Guidelines in the UX process and UI process.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1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Select and apply appropriate methods for analysing a design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Select and apply the relevant descriptive statistical tests associated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UX .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14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Analyse problems associated with different designs and suggests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solutions for their resolution.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586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Descr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ption: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2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UI/UX Design brings a design-centric approach to user interface and user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design, and offers practical, skill-based instruction centered around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visual communications perspective, rather than on one focused on marketing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programming alone. In this sequence of courses, summarize and demonstrate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stages of the UI/UX development process, from user research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defining a project’s strategy, scope, and information architecture, to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sitemaps and wireframes. Students will learn conventions in UX design and apply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them to create effective and compelling screen-based experiences for websites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apps.</w:t>
            </w:r>
          </w:p>
        </w:tc>
      </w:tr>
      <w:tr>
        <w:trPr>
          <w:trHeight w:hRule="exact" w:val="2292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662" w:right="4176" w:hanging="60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UI/UX Overview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Introduction to UI/UX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Good vs. Bad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 UX Vs. UI</w:t>
            </w:r>
          </w:p>
          <w:p>
            <w:pPr>
              <w:autoSpaceDN w:val="0"/>
              <w:autoSpaceDE w:val="0"/>
              <w:widowControl/>
              <w:spacing w:line="252" w:lineRule="exact" w:before="244" w:after="0"/>
              <w:ind w:left="552" w:right="2160" w:hanging="55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Design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user experience design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Carrying out user research and report findings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 Mapping user journey and experience maps</w:t>
            </w:r>
          </w:p>
        </w:tc>
      </w:tr>
    </w:tbl>
    <w:p>
      <w:pPr>
        <w:autoSpaceDN w:val="0"/>
        <w:autoSpaceDE w:val="0"/>
        <w:widowControl/>
        <w:spacing w:line="298" w:lineRule="exact" w:before="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43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958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 Creating information architecture using card sorting</w:t>
            </w:r>
          </w:p>
          <w:p>
            <w:pPr>
              <w:autoSpaceDN w:val="0"/>
              <w:autoSpaceDE w:val="0"/>
              <w:widowControl/>
              <w:spacing w:line="252" w:lineRule="exact" w:before="516" w:after="0"/>
              <w:ind w:left="662" w:right="302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Define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Phases of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Requirement to run a Design Sprint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 Team Design Sprint</w:t>
            </w:r>
          </w:p>
          <w:p>
            <w:pPr>
              <w:autoSpaceDN w:val="0"/>
              <w:autoSpaceDE w:val="0"/>
              <w:widowControl/>
              <w:spacing w:line="252" w:lineRule="exact" w:before="262" w:after="0"/>
              <w:ind w:left="608" w:right="1440" w:hanging="6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User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UX research sub-sets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How to identify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Defining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How to identify user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Principles of UX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Innovation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Culture and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4.7 Sustainable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4.8 Applied Ergonomics [ Human factor principles in UX]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4.9 Research with Empathy in mind</w:t>
            </w:r>
          </w:p>
          <w:p>
            <w:pPr>
              <w:autoSpaceDN w:val="0"/>
              <w:autoSpaceDE w:val="0"/>
              <w:widowControl/>
              <w:spacing w:line="252" w:lineRule="exact" w:before="264" w:after="0"/>
              <w:ind w:left="608" w:right="2160" w:hanging="6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UI Design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UI principles &amp;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Typography and importance of content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Accessibility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Iconography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 designing with development in mind</w:t>
            </w:r>
          </w:p>
          <w:p>
            <w:pPr>
              <w:autoSpaceDN w:val="0"/>
              <w:autoSpaceDE w:val="0"/>
              <w:widowControl/>
              <w:spacing w:line="252" w:lineRule="exact" w:before="262" w:after="0"/>
              <w:ind w:left="806" w:right="2592" w:hanging="80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User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6.1. Usability testing remotely &amp; in person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6.2. Steps to perform usability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 A/B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6.4. looking into analytics</w:t>
            </w:r>
          </w:p>
          <w:p>
            <w:pPr>
              <w:autoSpaceDN w:val="0"/>
              <w:autoSpaceDE w:val="0"/>
              <w:widowControl/>
              <w:spacing w:line="252" w:lineRule="exact" w:before="264" w:after="0"/>
              <w:ind w:left="608" w:right="3024" w:hanging="6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User Manual Designing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User persona’s [Structuring content]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User Journey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Making a Decision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User Stories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4-step Sketch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Low &amp; High fidelity wireframe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7.6 User testing</w:t>
            </w:r>
          </w:p>
          <w:p>
            <w:pPr>
              <w:autoSpaceDN w:val="0"/>
              <w:autoSpaceDE w:val="0"/>
              <w:widowControl/>
              <w:spacing w:line="252" w:lineRule="exact" w:before="242" w:after="0"/>
              <w:ind w:left="608" w:right="3312" w:hanging="6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Wireframing &amp; Rapid Prototyping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Notion &amp; Figma Setup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Figma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Figma prototype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Figma Layout and Grayscale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TextColor, Font, icon &amp; graphics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8.6 UI Components</w:t>
            </w:r>
          </w:p>
        </w:tc>
      </w:tr>
    </w:tbl>
    <w:p>
      <w:pPr>
        <w:autoSpaceDN w:val="0"/>
        <w:autoSpaceDE w:val="0"/>
        <w:widowControl/>
        <w:spacing w:line="298" w:lineRule="exact" w:before="7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44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648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608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8.7 Responsive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8.8 Testing &amp; Refactoring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8.9 Creating an impressive portfolio</w:t>
            </w:r>
          </w:p>
        </w:tc>
      </w:tr>
      <w:tr>
        <w:trPr>
          <w:trHeight w:hRule="exact" w:val="2456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.99999999999977" w:type="dxa"/>
            </w:tblPr>
            <w:tblGrid>
              <w:gridCol w:w="3625"/>
              <w:gridCol w:w="3625"/>
            </w:tblGrid>
            <w:tr>
              <w:trPr>
                <w:trHeight w:hRule="exact" w:val="1850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54" w:after="0"/>
                    <w:ind w:left="68" w:right="86" w:firstLine="0"/>
                    <w:jc w:val="both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4.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6.</w:t>
                  </w:r>
                </w:p>
              </w:tc>
              <w:tc>
                <w:tcPr>
                  <w:tcW w:type="dxa" w:w="6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UI is Communication By Everett N McKay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Simple and Usable Web, Mobile, and Interaction Design By Giles Colborne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Designing Interfaces , By Jenifer Tidwell, O’Reilly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About Face: The Essentials of Interaction Design ,By Alan Cooper, Robert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Reimann, David Cronin, Christopher Noessel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The UX Book , By Rex Hartson and Pardha Pyla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Smashing UX Design ,By Jesmond Allen and James Chudley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8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The course is composed of Lectures, assignments and a group project.</w:t>
            </w:r>
          </w:p>
        </w:tc>
      </w:tr>
      <w:tr>
        <w:trPr>
          <w:trHeight w:hRule="exact" w:val="754"/>
        </w:trPr>
        <w:tc>
          <w:tcPr>
            <w:tcW w:type="dxa" w:w="21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6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45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: Advanced Cloud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Advanced Cloud Computing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course is to establish foundation of micro service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architecture technologies and cloud computing</w:t>
            </w:r>
          </w:p>
        </w:tc>
      </w:tr>
      <w:tr>
        <w:trPr>
          <w:trHeight w:hRule="exact" w:val="1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3625"/>
              <w:gridCol w:w="3625"/>
            </w:tblGrid>
            <w:tr>
              <w:trPr>
                <w:trHeight w:hRule="exact" w:val="134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6" w:after="0"/>
                    <w:ind w:left="16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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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6" w:after="0"/>
                    <w:ind w:left="16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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</w:t>
                  </w:r>
                </w:p>
              </w:tc>
              <w:tc>
                <w:tcPr>
                  <w:tcW w:type="dxa" w:w="6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13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develop and deploy Microservices for cloud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understand Amazon cloud services, Google cloud services and Azure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cloud services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implement micro services with DevOps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follow the DevOps practices for software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3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 knowledge of software engineering, programming, networking,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internet and types of Information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0" w:lineRule="exact" w:before="58" w:after="0"/>
              <w:ind w:left="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After completion of the course, a student should be able to: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Achieve containerization using Docker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 the Microservices for cloud and deploy them on cloud.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Thoroughly build the applications in the DevOps way.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6" w:after="0"/>
              <w:ind w:left="662" w:right="230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Fundamentals of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Evolution of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Cloud characteristics and challenges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Cloud Computing Essentials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Cloud Computing Architectural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Cloud Deployment Models</w:t>
            </w:r>
          </w:p>
          <w:p>
            <w:pPr>
              <w:autoSpaceDN w:val="0"/>
              <w:tabs>
                <w:tab w:pos="662" w:val="left"/>
                <w:tab w:pos="990" w:val="left"/>
              </w:tabs>
              <w:autoSpaceDE w:val="0"/>
              <w:widowControl/>
              <w:spacing w:line="238" w:lineRule="exact" w:before="242" w:after="0"/>
              <w:ind w:left="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Virtualization and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Virtualization in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Parallelization in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Introduction to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2.3.1 Concept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2.3.2 Need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2.3.3 Containerization and Virtualization</w:t>
            </w:r>
          </w:p>
          <w:p>
            <w:pPr>
              <w:autoSpaceDN w:val="0"/>
              <w:tabs>
                <w:tab w:pos="658" w:val="left"/>
                <w:tab w:pos="1098" w:val="left"/>
              </w:tabs>
              <w:autoSpaceDE w:val="0"/>
              <w:widowControl/>
              <w:spacing w:line="238" w:lineRule="exact" w:before="224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Cloud Service Models &amp; Cloud Based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Infrastructure as a Service(IaaS)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3.1.1 Server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3.1.2 Storage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3.1.3 Network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Platform as a Service(PaaS)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Azure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 GooleAppEng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3.2.3 Hadoop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3.2.4 SalesForce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 Software as a Service (SaaS)</w:t>
            </w:r>
          </w:p>
        </w:tc>
      </w:tr>
    </w:tbl>
    <w:p>
      <w:pPr>
        <w:autoSpaceDN w:val="0"/>
        <w:autoSpaceDE w:val="0"/>
        <w:widowControl/>
        <w:spacing w:line="298" w:lineRule="exact" w:before="10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46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164"/>
        </w:trPr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316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486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60"/>
              <w:gridCol w:w="5260"/>
            </w:tblGrid>
            <w:tr>
              <w:trPr>
                <w:trHeight w:hRule="exact" w:val="13378"/>
              </w:trPr>
              <w:tc>
                <w:tcPr>
                  <w:tcW w:type="dxa" w:w="10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5140"/>
                    <w:gridCol w:w="5140"/>
                  </w:tblGrid>
                  <w:tr>
                    <w:trPr>
                      <w:trHeight w:hRule="exact" w:val="13030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25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exact" w:before="60" w:after="0"/>
                          <w:ind w:left="880" w:right="4464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3.3.1 Cloud services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3.3.2 Web portal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3.3.3 Web OS</w:t>
                        </w:r>
                      </w:p>
                      <w:p>
                        <w:pPr>
                          <w:autoSpaceDN w:val="0"/>
                          <w:tabs>
                            <w:tab w:pos="880" w:val="left"/>
                            <w:tab w:pos="1098" w:val="left"/>
                            <w:tab w:pos="1208" w:val="left"/>
                          </w:tabs>
                          <w:autoSpaceDE w:val="0"/>
                          <w:widowControl/>
                          <w:spacing w:line="238" w:lineRule="exact" w:before="480" w:after="0"/>
                          <w:ind w:left="106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4 Cloud Infrastructure and Architectures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4.1 Cloud Computing Stack - Composability, Infrastructure, Platforms,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Virtual Applications, Communication Protocols, Applications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4.2 Cloud Based Storage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4.2.1 Provisioning Cloud Storage - Unmanaged and Managed cloud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storage, creating cloud storage systems, virtual storage containers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4.3 Service Level Agreement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4.4 Cloud Security Concepts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4.5 Inter Cloud Communication</w:t>
                        </w:r>
                      </w:p>
                      <w:p>
                        <w:pPr>
                          <w:autoSpaceDN w:val="0"/>
                          <w:tabs>
                            <w:tab w:pos="662" w:val="left"/>
                            <w:tab w:pos="1100" w:val="left"/>
                          </w:tabs>
                          <w:autoSpaceDE w:val="0"/>
                          <w:widowControl/>
                          <w:spacing w:line="252" w:lineRule="exact" w:before="280" w:after="0"/>
                          <w:ind w:left="2" w:right="2016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5 Evolution of Micro Services Architecture (MSA)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 Current architectural styles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5.1.1 Monolithic architecture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5.1.2 Service oriented architecture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5.1.3 Micro service architecture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5.2 Decom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position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>Decompose by business ca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pability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>Decompose by subdom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ain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5" w:history="1">
                            <w:r>
                              <w:rPr>
                                <w:rStyle w:val="Hyperlink"/>
                              </w:rPr>
                              <w:t>Self-contained S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5" w:history="1">
                            <w:r>
                              <w:rPr>
                                <w:rStyle w:val="Hyperlink"/>
                              </w:rPr>
                              <w:t xml:space="preserve">ervice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5.2.4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6" w:history="1">
                            <w:r>
                              <w:rPr>
                                <w:rStyle w:val="Hyperlink"/>
                              </w:rPr>
                              <w:t>Service per team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550" w:val="left"/>
                            <w:tab w:pos="662" w:val="left"/>
                            <w:tab w:pos="882" w:val="left"/>
                            <w:tab w:pos="1100" w:val="left"/>
                          </w:tabs>
                          <w:autoSpaceDE w:val="0"/>
                          <w:widowControl/>
                          <w:spacing w:line="252" w:lineRule="exact" w:before="258" w:after="0"/>
                          <w:ind w:left="2" w:right="2304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6 MSA – Data and Transaction Aspects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6.1 Data 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 xml:space="preserve">anagement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>Database per Se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 xml:space="preserve">rvice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>Shar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 xml:space="preserve">ed database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8" w:history="1">
                            <w:r>
                              <w:rPr>
                                <w:rStyle w:val="Hyperlink"/>
                              </w:rPr>
                              <w:t xml:space="preserve">Saga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6.1.4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 xml:space="preserve">API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>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0" w:history="1">
                            <w:r>
                              <w:rPr>
                                <w:rStyle w:val="Hyperlink"/>
                              </w:rPr>
                              <w:t xml:space="preserve">omposition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6.1.5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 xml:space="preserve">CQRS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6.1.6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>Domai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 xml:space="preserve">n event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6.1.7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>Event sourcin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2" w:history="1">
                            <w:r>
                              <w:rPr>
                                <w:rStyle w:val="Hyperlink"/>
                              </w:rPr>
                              <w:t xml:space="preserve">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6.2 Tran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>sa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>ctional messagi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 xml:space="preserve">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 xml:space="preserve">Transactional outbox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>Transaction log t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3" w:history="1">
                            <w:r>
                              <w:rPr>
                                <w:rStyle w:val="Hyperlink"/>
                              </w:rPr>
                              <w:t>ailin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4" w:history="1">
                            <w:r>
                              <w:rPr>
                                <w:rStyle w:val="Hyperlink"/>
                              </w:rPr>
                              <w:t xml:space="preserve">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4" w:history="1">
                            <w:r>
                              <w:rPr>
                                <w:rStyle w:val="Hyperlink"/>
                              </w:rPr>
                              <w:t xml:space="preserve">Polling publisher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6.3 Fault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5" w:history="1">
                            <w:r>
                              <w:rPr>
                                <w:rStyle w:val="Hyperlink"/>
                              </w:rPr>
                              <w:t xml:space="preserve">Tolerance using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Circuit Breaker Pattern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38" w:lineRule="exact" w:before="258" w:after="0"/>
                          <w:ind w:left="658" w:right="2160" w:hanging="552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7 Micro Services with DevOps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7.1 Embracing DevOps in MSA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7.2 Ecology of MSA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7.3 Micro Servers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7.4 Rest API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7.5 Packaging Micro Services Applications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7.6 Containerization with Docker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7.7 Docker Client Commands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7.8 Data Caching for Micro Services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7.9 Container Orchestration and Load Balancing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7.10 Security Propagation across Micro Services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31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4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658" w:right="2160" w:hanging="55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Realizing MSA based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Micro Profile based Application for MSA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Service Discovery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 Deploying MSA based Applications on cloud.</w:t>
            </w:r>
          </w:p>
        </w:tc>
      </w:tr>
      <w:tr>
        <w:trPr>
          <w:trHeight w:hRule="exact" w:val="88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" w:val="left"/>
                <w:tab w:pos="222" w:val="left"/>
              </w:tabs>
              <w:autoSpaceDE w:val="0"/>
              <w:widowControl/>
              <w:spacing w:line="252" w:lineRule="exact" w:before="46" w:after="0"/>
              <w:ind w:left="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Pro Newcomer &amp; Lomow, “Understanding SOA with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Services”, Pearson Education, 2007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Bieberstein,Bose,Fiammante,Jones and Shah “Service-Oriented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Architecture(SOA) Compass”, Pearson Education, 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Thomas Erl, “Service-Oriented Architecture: Concepts, Technology,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Design”, Pearson Education, 2005.</w:t>
            </w:r>
          </w:p>
          <w:p>
            <w:pPr>
              <w:autoSpaceDN w:val="0"/>
              <w:tabs>
                <w:tab w:pos="222" w:val="left"/>
              </w:tabs>
              <w:autoSpaceDE w:val="0"/>
              <w:widowControl/>
              <w:spacing w:line="254" w:lineRule="exact" w:before="42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Thomas Erl, “SOA: Principles of Service Design “,Pearson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Education,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Pulier and Taylor, “Understanding Enterprise SOA”, DreamTech,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Michael HAvey, “SOA cookbook”, SPD, 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Cloud Computing: Principles and Paradigms - R. Buyya et al-Wiley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Cloud Computing Bible - Sosinsky - Wiley - India,2011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Cloud Computing Second Edition Dr. Kumar Saurabh - Wiley - India,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10. Building Microservices Paperbackby Sam Newman, SPD Press, 2017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11. Microservices for Java EE Architects: Addendum for The Java 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Architect's Handbook by Derek C. Ashmore,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12. Kubernetes Microservices with Docker by Deepak Vohra,Apress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13. Docker Quick Start Guide: Learn Docker like a boss, and finally own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your applications by Earl Waud, PACKT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14. Apache ZooKeeper Essentials by Saurav Haloi, PACKT publications,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15. Hazelcast A Complete Guide - 2019 Edition by Gerardus Blokdyk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publication: 5STARCooks,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16. Microservices Patterns: With examples in Java by Chris Richardson,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Publisher: Manning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17. Microservices and Containers 1st Edition by Parminder Singh, Kocher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 - Addison-Wesley Professional,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18. Hands-On Microservices with Kubernetes: Build, deploy, and manage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scalable microservices on Kubernetes, by Gigi Sayfan,Packt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Publications</w:t>
            </w:r>
          </w:p>
        </w:tc>
      </w:tr>
      <w:tr>
        <w:trPr>
          <w:trHeight w:hRule="exact" w:val="4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course is composed of Lectures, assignments and a group project.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47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48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8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Research in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Research in Computing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, methods andtoolrelated to research work in thefield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of computer science.</w:t>
            </w:r>
          </w:p>
        </w:tc>
      </w:tr>
      <w:tr>
        <w:trPr>
          <w:trHeight w:hRule="exact" w:val="100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248"/>
              <w:gridCol w:w="3248"/>
            </w:tblGrid>
            <w:tr>
              <w:trPr>
                <w:trHeight w:hRule="exact" w:val="82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2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fundamentals of research in computer science.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research work, research writing and emerging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research areas of computer science.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1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of general Computer Science, Mathematics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Statistics</w:t>
            </w:r>
          </w:p>
        </w:tc>
      </w:tr>
      <w:tr>
        <w:trPr>
          <w:trHeight w:hRule="exact" w:val="7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 research methods, emerging research areas and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paper writing.</w:t>
            </w:r>
          </w:p>
        </w:tc>
      </w:tr>
      <w:tr>
        <w:trPr>
          <w:trHeight w:hRule="exact" w:val="78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438" w:val="left"/>
              </w:tabs>
              <w:autoSpaceDE w:val="0"/>
              <w:widowControl/>
              <w:spacing w:line="250" w:lineRule="exact" w:before="54" w:after="0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Research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Research : a way of thinking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Types of Research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Research Problem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 Conducting a research study</w:t>
            </w:r>
          </w:p>
          <w:p>
            <w:pPr>
              <w:autoSpaceDN w:val="0"/>
              <w:tabs>
                <w:tab w:pos="766" w:val="left"/>
                <w:tab w:pos="932" w:val="left"/>
              </w:tabs>
              <w:autoSpaceDE w:val="0"/>
              <w:widowControl/>
              <w:spacing w:line="252" w:lineRule="exact" w:before="254" w:after="0"/>
              <w:ind w:left="2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Literature Review and Hypotheses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How to review the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2.1.1 Searching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2.1.2 Reviewing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2.1.3 Writing about Reviewed Literature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Definition of hypothesis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 Types and characteristic of Hypothesis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38" w:right="2160" w:hanging="43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Research Methods and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Survey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Observation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Methods of data collection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Concept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Types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3.6 Determination of Sample Size</w:t>
            </w:r>
          </w:p>
          <w:p>
            <w:pPr>
              <w:autoSpaceDN w:val="0"/>
              <w:tabs>
                <w:tab w:pos="382" w:val="left"/>
                <w:tab w:pos="386" w:val="left"/>
                <w:tab w:pos="438" w:val="left"/>
                <w:tab w:pos="440" w:val="left"/>
              </w:tabs>
              <w:autoSpaceDE w:val="0"/>
              <w:widowControl/>
              <w:spacing w:line="252" w:lineRule="exact" w:before="256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Data Analysis and Presentation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Data gathering, validation, and analysis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User studies, surveys, and survey tools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Statistical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Mathematical Modeling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Performance metrics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Simulation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4.7 Presentation and tools</w:t>
            </w:r>
          </w:p>
        </w:tc>
      </w:tr>
    </w:tbl>
    <w:p>
      <w:pPr>
        <w:autoSpaceDN w:val="0"/>
        <w:autoSpaceDE w:val="0"/>
        <w:widowControl/>
        <w:spacing w:line="298" w:lineRule="exact" w:before="1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08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330" w:right="1440" w:hanging="32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Proposing and Performing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Types of papers (survey, position, research, etc.)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Problem identification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Literature review and citation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Identifying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Selecting appropriate methodology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 Assessment and validation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330" w:right="3456" w:hanging="27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Conduct of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Ethics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Plagiarism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Intellectual property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Technical writing, formats</w:t>
            </w:r>
          </w:p>
          <w:p>
            <w:pPr>
              <w:autoSpaceDN w:val="0"/>
              <w:autoSpaceDE w:val="0"/>
              <w:widowControl/>
              <w:spacing w:line="252" w:lineRule="exact" w:before="508" w:after="0"/>
              <w:ind w:left="330" w:right="2448" w:hanging="32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Research Domains in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Artificial 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Data Mining and Data Science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Machine Learning and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Computational Linguistic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Image Processing</w:t>
            </w:r>
          </w:p>
          <w:p>
            <w:pPr>
              <w:autoSpaceDN w:val="0"/>
              <w:tabs>
                <w:tab w:pos="330" w:val="left"/>
                <w:tab w:pos="382" w:val="left"/>
                <w:tab w:pos="438" w:val="left"/>
                <w:tab w:pos="550" w:val="left"/>
                <w:tab w:pos="662" w:val="left"/>
                <w:tab w:pos="772" w:val="left"/>
                <w:tab w:pos="990" w:val="left"/>
              </w:tabs>
              <w:autoSpaceDE w:val="0"/>
              <w:widowControl/>
              <w:spacing w:line="252" w:lineRule="exact" w:before="240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Multidisciplinary Research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Internet of Things in Medical, Agricultural and 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Domains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Computational Biology : Computational Genomics,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Computational Proteomics, Bioinformatics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Education : Accreditation, Assessment, Pedagogy,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Educational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Molecular Computing : Algorithmic Self-Assembly,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Chemical Reaction Networks, DNA Strand Displacement,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DNA Sequence Design, Thermodynamic Computing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Network Science - Complex Networks, Social Networks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8.6 Quantum Computing: Quantum Complexity Theory,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Post-Quantum Cryptography, Quantum Error Correcting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Codes</w:t>
            </w:r>
          </w:p>
        </w:tc>
      </w:tr>
      <w:tr>
        <w:trPr>
          <w:trHeight w:hRule="exact" w:val="378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5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Research Methodology : Methods and Techniques, C.R. Kothari, New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Age Publication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Qualitative Research: A Guide to Design and Implementation, 4th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Edition Sharan B. Merriam, Elizabeth J. Tisdell, Jossey-Bass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 RESEARCH METHODOLOGY 2nd Edition, R.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46" w:after="0"/>
              <w:ind w:left="2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PANNEERSELVAM, PHI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A Guide for New Referees in Theoretical Computer Science, by Ian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Parberry.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46" w:after="0"/>
              <w:ind w:left="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A primer on mathematical writing, by Steven L. Kleiman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An Evolution of Computer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Research,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https://www.cs.rpi.edu/research/pdf/12-03.pdf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Association of Computing Machinery Computing and Public Policy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Page (including Code of Ethics)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Hints on good mathematical writing, by David Goss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7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46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How to do Research in the MIT AI Lab, ed. David Chapman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How to Present a Paper in Theoretical Computer Science, by Ian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Parberry.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2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How to write a thesis in an Experimental area of Computer 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by Doug Comer.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48" w:lineRule="exact" w:before="5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 xml:space="preserve"> J. Zobel, Writing For Computer Science, New York: Springer-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111111"/>
                <w:sz w:val="22"/>
              </w:rPr>
              <w:t>Verlag, 1997.</w:t>
            </w:r>
          </w:p>
        </w:tc>
      </w:tr>
      <w:tr>
        <w:trPr>
          <w:trHeight w:hRule="exact" w:val="43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4"/>
              </w:rPr>
              <w:t>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course is composed of readings, assignments and a class work.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05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51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7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Web Programming - 2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Elective Web Programming - 2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4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comprehensive knowledge about JavaScript-based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framework built on Google Chrome's JavaScript V8 Engine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625"/>
              <w:gridCol w:w="3625"/>
            </w:tblGrid>
            <w:tr>
              <w:trPr>
                <w:trHeight w:hRule="exact" w:val="766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provide knowledge on how to develop I/O intensive web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applications like video streaming sites, single-page applications,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other web applications using Node.js framework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understanding of JavaScript, HTML, CSS and AJAX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40" w:lineRule="exact" w:before="82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having completed the course the student will gain: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Understanding of Node.js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Knowledge of Node Modules Technical know-hows of Full Stack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Node.js based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Application of Node.js web development of real life application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662" w:val="left"/>
                <w:tab w:pos="990" w:val="left"/>
                <w:tab w:pos="1650" w:val="left"/>
              </w:tabs>
              <w:autoSpaceDE w:val="0"/>
              <w:widowControl/>
              <w:spacing w:line="252" w:lineRule="exact" w:before="52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Node.js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Features and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1.1 Installing Node, Node Hosting Environments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1.1.2 Node Building Blocks- Global and Process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buffers, Typed arrays and Strings, Streams,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Callbacks and Asynchronous, Event Handling- Event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Queue, Event Emitter, Event Loop and Timers,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Nested Callback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 Exception Handling.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6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 REPL Terminal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662" w:right="86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Node Modules and Node Package Manager (NPM)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Overview of Node Module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Overview of Node Package Manager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Overview of Node Version Manager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Creating and Publishing Node Modules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Node Modules-Async, Commander and Underscore, OAuth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2.6 Overview of Other Utility Modules</w:t>
            </w:r>
          </w:p>
          <w:p>
            <w:pPr>
              <w:autoSpaceDN w:val="0"/>
              <w:tabs>
                <w:tab w:pos="496" w:val="left"/>
                <w:tab w:pos="550" w:val="left"/>
                <w:tab w:pos="882" w:val="left"/>
              </w:tabs>
              <w:autoSpaceDE w:val="0"/>
              <w:widowControl/>
              <w:spacing w:line="252" w:lineRule="exact" w:before="260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Node with the Local System and the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Streams and Pipes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Node and the File System- The fs.Stats class, The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Watcher, File Read and Write, Directory access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Maintenance, File Streams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 Resource Access with Path</w:t>
            </w:r>
          </w:p>
          <w:p>
            <w:pPr>
              <w:autoSpaceDN w:val="0"/>
              <w:tabs>
                <w:tab w:pos="606" w:val="left"/>
                <w:tab w:pos="990" w:val="left"/>
              </w:tabs>
              <w:autoSpaceDE w:val="0"/>
              <w:widowControl/>
              <w:spacing w:line="252" w:lineRule="exact" w:before="238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Node and Web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The HTTP Module: Server and Client using APACHE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proxy a Node Application Query String Parsing and DNS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Resolution</w:t>
            </w:r>
          </w:p>
        </w:tc>
      </w:tr>
    </w:tbl>
    <w:p>
      <w:pPr>
        <w:autoSpaceDN w:val="0"/>
        <w:autoSpaceDE w:val="0"/>
        <w:widowControl/>
        <w:spacing w:line="298" w:lineRule="exact" w:before="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758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55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Routing in NodeJS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 Routing and Callback function</w:t>
            </w:r>
          </w:p>
          <w:p>
            <w:pPr>
              <w:autoSpaceDN w:val="0"/>
              <w:tabs>
                <w:tab w:pos="606" w:val="left"/>
                <w:tab w:pos="662" w:val="left"/>
                <w:tab w:pos="1100" w:val="left"/>
              </w:tabs>
              <w:autoSpaceDE w:val="0"/>
              <w:widowControl/>
              <w:spacing w:line="252" w:lineRule="exact" w:before="512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NodeJS and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NoSQL Database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MongoDB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Working with MongoDB-writing data, querying, Indexes,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MapReduce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86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Full-Stack Node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The Express Application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Express Supportive Modules,Body-parser, Method Override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Template Engines in NodeJS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Integrating NodeJS and MongoDB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Nodes JS RESTful API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662" w:right="244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Event Management in NodeJS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Event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EventEmitter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EventListner and EventHandler in NodeJS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7.4 Asynchronus Event Management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716" w:right="2304" w:hanging="7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Node in New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Next Generation NodeJS Framework - Koa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Working of Koa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NodeJS and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Node and Adruino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 Node and Raspberry Pi</w:t>
            </w:r>
          </w:p>
        </w:tc>
      </w:tr>
      <w:tr>
        <w:trPr>
          <w:trHeight w:hRule="exact" w:val="25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" w:val="left"/>
                <w:tab w:pos="438" w:val="left"/>
                <w:tab w:pos="440" w:val="left"/>
              </w:tabs>
              <w:autoSpaceDE w:val="0"/>
              <w:widowControl/>
              <w:spacing w:line="250" w:lineRule="exact" w:before="48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Learning Node Moving to the server side Shelley Powers O’Relly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Buliding Node Applications with MongoDB and Backbone Mike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Wilson O’Relly SPD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GEO, CouchDB &amp; NodeJS Mick Thompson O’Relly SPD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Web Development with Node and Express, Ethan Brown 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Node.js in Action, Alex Young, Bradley Meck, Mike Cantelon, Tim Oxley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Marc Harter, T.J. Holowaychuk, Nathan Rajlich</w:t>
            </w:r>
          </w:p>
        </w:tc>
      </w:tr>
      <w:tr>
        <w:trPr>
          <w:trHeight w:hRule="exact" w:val="25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9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53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50" w:space="0"/>
            <w:col w:w="10750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0.0" w:type="dxa"/>
      </w:tblPr>
      <w:tblGrid>
        <w:gridCol w:w="5205"/>
        <w:gridCol w:w="5205"/>
      </w:tblGrid>
      <w:tr>
        <w:trPr>
          <w:trHeight w:hRule="exact" w:val="109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440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2.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DSC-3, DSC-4, SEC-2 and DSE-2.</w:t>
            </w:r>
          </w:p>
        </w:tc>
      </w:tr>
      <w:tr>
        <w:trPr>
          <w:trHeight w:hRule="exact" w:val="12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-2.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DSC-3, DSC-4,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 and DSE-2.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.As per paper DSC-3, DSC-4, SEC-2 and DSE-2.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9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54</w:t>
      </w:r>
    </w:p>
    <w:sectPr w:rsidR="00FC693F" w:rsidRPr="0006063C" w:rsidSect="00034616">
      <w:pgSz w:w="12240" w:h="15840"/>
      <w:pgMar w:top="108" w:right="520" w:bottom="478" w:left="1310" w:header="720" w:footer="720" w:gutter="0"/>
      <w:cols w:space="720" w:num="1" w:equalWidth="0">
        <w:col w:w="1041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750" w:space="0"/>
        <w:col w:w="10750" w:space="0"/>
        <w:col w:w="10528" w:space="0"/>
        <w:col w:w="10528" w:space="0"/>
        <w:col w:w="1062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earning.oreilly.com/library/view/advanced-python-programming/9781838551216/2aa6949a-47c8-4fb8-8434-914916415b68.xhtml" TargetMode="External"/><Relationship Id="rId12" Type="http://schemas.openxmlformats.org/officeDocument/2006/relationships/hyperlink" Target="https://learning.oreilly.com/library/view/advanced-python-programming/9781838551216/eb8b1967-6ec5-41ea-a643-a8d875f80310.xhtml" TargetMode="External"/><Relationship Id="rId13" Type="http://schemas.openxmlformats.org/officeDocument/2006/relationships/hyperlink" Target="https://realpython.com/flask-by-example-part-1-project-setup/" TargetMode="External"/><Relationship Id="rId14" Type="http://schemas.openxmlformats.org/officeDocument/2006/relationships/hyperlink" Target="https://microservices.io/patterns/decomposition/decompose-by-business-capability.html" TargetMode="External"/><Relationship Id="rId15" Type="http://schemas.openxmlformats.org/officeDocument/2006/relationships/hyperlink" Target="https://microservices.io/patterns/decomposition/decompose-by-subdomain.html" TargetMode="External"/><Relationship Id="rId16" Type="http://schemas.openxmlformats.org/officeDocument/2006/relationships/hyperlink" Target="https://microservices.io/patterns/decomposition/self-contained-service.html" TargetMode="External"/><Relationship Id="rId17" Type="http://schemas.openxmlformats.org/officeDocument/2006/relationships/hyperlink" Target="https://microservices.io/patterns/data/database-per-service.html" TargetMode="External"/><Relationship Id="rId18" Type="http://schemas.openxmlformats.org/officeDocument/2006/relationships/hyperlink" Target="https://microservices.io/patterns/data/shared-database.html" TargetMode="External"/><Relationship Id="rId19" Type="http://schemas.openxmlformats.org/officeDocument/2006/relationships/hyperlink" Target="https://microservices.io/patterns/data/cqrs.html" TargetMode="External"/><Relationship Id="rId20" Type="http://schemas.openxmlformats.org/officeDocument/2006/relationships/hyperlink" Target="https://microservices.io/patterns/data/api-composition.html" TargetMode="External"/><Relationship Id="rId21" Type="http://schemas.openxmlformats.org/officeDocument/2006/relationships/hyperlink" Target="https://microservices.io/patterns/data/domain-event.html" TargetMode="External"/><Relationship Id="rId22" Type="http://schemas.openxmlformats.org/officeDocument/2006/relationships/hyperlink" Target="https://microservices.io/patterns/data/event-sourcing.html" TargetMode="External"/><Relationship Id="rId23" Type="http://schemas.openxmlformats.org/officeDocument/2006/relationships/hyperlink" Target="https://microservices.io/patterns/data/transactional-outbox.html" TargetMode="External"/><Relationship Id="rId24" Type="http://schemas.openxmlformats.org/officeDocument/2006/relationships/hyperlink" Target="https://microservices.io/patterns/data/transaction-log-tailing.html" TargetMode="External"/><Relationship Id="rId25" Type="http://schemas.openxmlformats.org/officeDocument/2006/relationships/hyperlink" Target="https://microservices.io/patterns/data/polling-publis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