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29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36" w:after="0"/>
        <w:ind w:left="0" w:right="460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418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1114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88" w:lineRule="exact" w:before="476" w:after="0"/>
        <w:ind w:left="168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Information Technology</w:t>
      </w:r>
    </w:p>
    <w:p>
      <w:pPr>
        <w:autoSpaceDN w:val="0"/>
        <w:autoSpaceDE w:val="0"/>
        <w:widowControl/>
        <w:spacing w:line="690" w:lineRule="exact" w:before="460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SEMESTER- 2</w:t>
      </w:r>
    </w:p>
    <w:p>
      <w:pPr>
        <w:autoSpaceDN w:val="0"/>
        <w:autoSpaceDE w:val="0"/>
        <w:widowControl/>
        <w:spacing w:line="298" w:lineRule="exact" w:before="369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34</w:t>
      </w:r>
    </w:p>
    <w:p>
      <w:pPr>
        <w:sectPr>
          <w:pgSz w:w="12240" w:h="15840"/>
          <w:pgMar w:top="25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13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DSC-3 Mobile Application Development –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Application Development – 1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introduce the most demanding android open source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technology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To make students understand advanced concepts of mobile app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technology.</w:t>
            </w:r>
          </w:p>
          <w:p>
            <w:pPr>
              <w:autoSpaceDN w:val="0"/>
              <w:autoSpaceDE w:val="0"/>
              <w:widowControl/>
              <w:spacing w:line="240" w:lineRule="exact" w:before="84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To make students understand various inbuilt features of android.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To make students understand the android design essentials.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To make students understand android user interface design basics .</w:t>
            </w:r>
          </w:p>
        </w:tc>
      </w:tr>
      <w:tr>
        <w:trPr>
          <w:trHeight w:hRule="exact" w:val="102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1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Pre-requisite Fundamentals of web technologies and fundamentals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related to mobile OS.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6" w:val="left"/>
              </w:tabs>
              <w:autoSpaceDE w:val="0"/>
              <w:widowControl/>
              <w:spacing w:line="240" w:lineRule="exact" w:before="84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have knowledge about android which is widely used Mobile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OS and open source technology and its concepts. Various features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android like Application Design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Essentials, User Interface Design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Essentials, Use of Common Android APIs, data storage using SQLite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Firebase and deploying Android application.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19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8" w:val="left"/>
                <w:tab w:pos="646" w:val="left"/>
              </w:tabs>
              <w:autoSpaceDE w:val="0"/>
              <w:widowControl/>
              <w:spacing w:line="238" w:lineRule="exact" w:before="94" w:after="0"/>
              <w:ind w:left="106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android and it’s tool chain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Architecture Of Android OS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Android Development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1.2.1. Android SDK and SDK Manager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1.2.2. The Android Virtual Device, Emulator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1.2.3. Dalvik Debug Monitor Service (DDMS)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1.2.4. Android Debug Bridge (ADB)</w:t>
            </w:r>
          </w:p>
          <w:p>
            <w:pPr>
              <w:autoSpaceDN w:val="0"/>
              <w:tabs>
                <w:tab w:pos="418" w:val="left"/>
                <w:tab w:pos="440" w:val="left"/>
                <w:tab w:pos="646" w:val="left"/>
                <w:tab w:pos="778" w:val="left"/>
              </w:tabs>
              <w:autoSpaceDE w:val="0"/>
              <w:widowControl/>
              <w:spacing w:line="238" w:lineRule="exact" w:before="242" w:after="0"/>
              <w:ind w:left="106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Android - Key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Components Of Android Application - Activities, Services,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Broadcast Receivers, Content Providers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Directory Structure of Android Application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2.2.1. AndroidManifest.xml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2.2.2. Layouts &amp; Drawable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2.2.3 Activity Java 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2.2.4 Gradle</w:t>
            </w:r>
          </w:p>
          <w:p>
            <w:pPr>
              <w:autoSpaceDN w:val="0"/>
              <w:tabs>
                <w:tab w:pos="418" w:val="left"/>
                <w:tab w:pos="440" w:val="left"/>
                <w:tab w:pos="450" w:val="left"/>
              </w:tabs>
              <w:autoSpaceDE w:val="0"/>
              <w:widowControl/>
              <w:spacing w:line="238" w:lineRule="exact" w:before="242" w:after="0"/>
              <w:ind w:left="106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Unit3: Layout and Advanced UI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 Layouts and its attributes - Linear, Relative, Constraint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 Scrollview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 Webview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3.4. Seekbar, Rating bar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3.5. Recyclerview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3.6. Alert Dialog</w:t>
            </w:r>
          </w:p>
          <w:p>
            <w:pPr>
              <w:autoSpaceDN w:val="0"/>
              <w:autoSpaceDE w:val="0"/>
              <w:widowControl/>
              <w:spacing w:line="332" w:lineRule="exact" w:before="12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4: Navigating across Application</w:t>
            </w:r>
          </w:p>
        </w:tc>
      </w:tr>
    </w:tbl>
    <w:p>
      <w:pPr>
        <w:autoSpaceDN w:val="0"/>
        <w:autoSpaceDE w:val="0"/>
        <w:widowControl/>
        <w:spacing w:line="298" w:lineRule="exact" w:before="9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35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715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482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 Intent and Intent Filters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 Menus - context, pop-up, options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 Tab layout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 Navigation Drawer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4.5. Linkify</w:t>
            </w:r>
          </w:p>
          <w:p>
            <w:pPr>
              <w:autoSpaceDN w:val="0"/>
              <w:autoSpaceDE w:val="0"/>
              <w:widowControl/>
              <w:spacing w:line="236" w:lineRule="exact" w:before="246" w:after="0"/>
              <w:ind w:left="406" w:right="3312" w:hanging="3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Unit-5: Using Shared preferences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Purpose of Shared Preferences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Shared Preference Modes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Writing to shared Preferences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Methods of editor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Reading from Shared Preference</w:t>
            </w:r>
          </w:p>
          <w:p>
            <w:pPr>
              <w:autoSpaceDN w:val="0"/>
              <w:autoSpaceDE w:val="0"/>
              <w:widowControl/>
              <w:spacing w:line="236" w:lineRule="exact" w:before="244" w:after="0"/>
              <w:ind w:left="440" w:right="432" w:hanging="33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Unit-6: Preserving and Saving data in Local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Introduction to SQLite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SqliteOpenHelper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 SQlite Methods - ExecSQL, Rawquery, Insert, Update, Delete</w:t>
            </w:r>
          </w:p>
          <w:p>
            <w:pPr>
              <w:autoSpaceDN w:val="0"/>
              <w:tabs>
                <w:tab w:pos="406" w:val="left"/>
                <w:tab w:pos="440" w:val="left"/>
              </w:tabs>
              <w:autoSpaceDE w:val="0"/>
              <w:widowControl/>
              <w:spacing w:line="236" w:lineRule="exact" w:before="246" w:after="0"/>
              <w:ind w:left="106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Handling Data with Firebase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Introduction to Firebase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Firebase - Environmental Setup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Writing Data to the Firebase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Reading data</w:t>
            </w:r>
          </w:p>
          <w:p>
            <w:pPr>
              <w:autoSpaceDN w:val="0"/>
              <w:tabs>
                <w:tab w:pos="406" w:val="left"/>
                <w:tab w:pos="740" w:val="left"/>
              </w:tabs>
              <w:autoSpaceDE w:val="0"/>
              <w:widowControl/>
              <w:spacing w:line="236" w:lineRule="exact" w:before="222" w:after="0"/>
              <w:ind w:left="106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Working with other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Geocoding and reverse Geocoding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Audio, Video and Using the Camera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8.2.1. Playing and recording Audio and Video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8.2.2. Working with the Camera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 Push Notification</w:t>
            </w:r>
          </w:p>
        </w:tc>
      </w:tr>
      <w:tr>
        <w:trPr>
          <w:trHeight w:hRule="exact" w:val="388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  <w:tab w:pos="462" w:val="left"/>
              </w:tabs>
              <w:autoSpaceDE w:val="0"/>
              <w:widowControl/>
              <w:spacing w:line="294" w:lineRule="exact" w:before="3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Professional Android 4 Application Development Reto Meier, WROX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Publication-2015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Android for Programmers-An App Driven Approach, Deitel, Deitel,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Deitel and Morgano, Pearson Publication-2012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Android Programming Unleashed, Harwani, Pearson Publication-2013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Professional Android Programming-with MONO McClure,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Blevins, Croft, Dick and Hardy, Wiley India-2012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Android application development for java programmer, James 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Sheusi, Cenage Learning-2013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Android Essentials, Chris Haseman, Apress Publication, 2009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 Beginning Android, Mark L Murphy, Wiley India Pvt Ltd, 2009</w:t>
            </w:r>
          </w:p>
          <w:p>
            <w:pPr>
              <w:autoSpaceDN w:val="0"/>
              <w:autoSpaceDE w:val="0"/>
              <w:widowControl/>
              <w:spacing w:line="238" w:lineRule="exact" w:before="15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 Android, Sayed Y Hashimi and Satya Komatineni, Wiley India Pvt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Ltd, APress-2009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98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36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86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DSC-4 Web Programming - 2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Web Programming - 2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comprehensive knowledge about JavaScript-based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framework built on Google Chrome's JavaScript V8 Engine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knowledge on how to develop I/O intensive web applications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like video streaming sites, single-page applications, and other web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applications using Node.js framework</w:t>
            </w:r>
          </w:p>
        </w:tc>
      </w:tr>
      <w:tr>
        <w:trPr>
          <w:trHeight w:hRule="exact" w:val="50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understanding of JavaScript, HTML, CSS and AJAX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" w:val="left"/>
                <w:tab w:pos="546" w:val="left"/>
              </w:tabs>
              <w:autoSpaceDE w:val="0"/>
              <w:widowControl/>
              <w:spacing w:line="240" w:lineRule="exact" w:before="82" w:after="0"/>
              <w:ind w:left="18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completing the course the student will gain: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Understanding of Node.js Environment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Knowledge of Node Modules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Technical know-hows of Full Stack Node.js based development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 of Node.js web development of real life application</w:t>
            </w:r>
          </w:p>
        </w:tc>
      </w:tr>
      <w:tr>
        <w:trPr>
          <w:trHeight w:hRule="exact" w:val="74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0" w:val="left"/>
                <w:tab w:pos="320" w:val="left"/>
                <w:tab w:pos="500" w:val="left"/>
                <w:tab w:pos="1060" w:val="left"/>
              </w:tabs>
              <w:autoSpaceDE w:val="0"/>
              <w:widowControl/>
              <w:spacing w:line="276" w:lineRule="exact" w:before="56" w:after="0"/>
              <w:ind w:left="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Node.js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Features and Applications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1.1 Installing Node, Node Hosting Environments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1.1.2 Node Building Blocks- Global and Process objects,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buffers, Typed arrays and Strings, Streams, Callbacks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Asynchronous, Event Handling- Event Queue,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Event Emitter, Event Loop and Timers, Nested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Callback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1.2 Exception Handling.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REPL Terminal</w:t>
            </w:r>
          </w:p>
          <w:p>
            <w:pPr>
              <w:autoSpaceDN w:val="0"/>
              <w:tabs>
                <w:tab w:pos="402" w:val="left"/>
                <w:tab w:pos="762" w:val="left"/>
              </w:tabs>
              <w:autoSpaceDE w:val="0"/>
              <w:widowControl/>
              <w:spacing w:line="276" w:lineRule="exact" w:before="280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Node Modules and Node Package Manager (NPM)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Overview of Node Module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Overview of Node Package Manager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Overview of Node Version Manager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Creating and Publishing Node Modules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Node Modules-Async, Commander and Underscore,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OAuth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2.6 Overview of Other Utility Modules</w:t>
            </w:r>
          </w:p>
          <w:p>
            <w:pPr>
              <w:autoSpaceDN w:val="0"/>
              <w:tabs>
                <w:tab w:pos="302" w:val="left"/>
                <w:tab w:pos="662" w:val="left"/>
              </w:tabs>
              <w:autoSpaceDE w:val="0"/>
              <w:widowControl/>
              <w:spacing w:line="276" w:lineRule="exact" w:before="280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Node with the Local System and the Web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Streams and Pipes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Node and the File System- The fs.Stats class, The File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System Watcher, File Read and Write, Directory access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Maintenance, File Streams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Resource Access with Path</w:t>
            </w:r>
          </w:p>
        </w:tc>
      </w:tr>
    </w:tbl>
    <w:p>
      <w:pPr>
        <w:autoSpaceDN w:val="0"/>
        <w:autoSpaceDE w:val="0"/>
        <w:widowControl/>
        <w:spacing w:line="298" w:lineRule="exact" w:before="7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37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91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646" w:val="left"/>
                <w:tab w:pos="662" w:val="left"/>
              </w:tabs>
              <w:autoSpaceDE w:val="0"/>
              <w:widowControl/>
              <w:spacing w:line="276" w:lineRule="exact" w:before="56" w:after="0"/>
              <w:ind w:left="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Node and Web Application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The HTTP Module: Server and Client using APACHE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proxy a Node Application Query String Parsing and DNS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Resolution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Routing in NodeJS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Routing and Callback function</w:t>
            </w:r>
          </w:p>
          <w:p>
            <w:pPr>
              <w:autoSpaceDN w:val="0"/>
              <w:tabs>
                <w:tab w:pos="362" w:val="left"/>
                <w:tab w:pos="706" w:val="left"/>
              </w:tabs>
              <w:autoSpaceDE w:val="0"/>
              <w:widowControl/>
              <w:spacing w:line="276" w:lineRule="exact" w:before="280" w:after="0"/>
              <w:ind w:left="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NodeJS and MongoDB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NoSQL Database MongoDB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MongoDB 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Working with MongoDB-writing data, querying, Indexes,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MapReduce</w:t>
            </w:r>
          </w:p>
          <w:p>
            <w:pPr>
              <w:autoSpaceDN w:val="0"/>
              <w:tabs>
                <w:tab w:pos="346" w:val="left"/>
                <w:tab w:pos="362" w:val="left"/>
                <w:tab w:pos="406" w:val="left"/>
                <w:tab w:pos="766" w:val="left"/>
              </w:tabs>
              <w:autoSpaceDE w:val="0"/>
              <w:widowControl/>
              <w:spacing w:line="276" w:lineRule="exact" w:before="280" w:after="0"/>
              <w:ind w:left="2" w:right="144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Full-Stack Node development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The Express Application Framework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Express Supportive Modules - Body-parser, Method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Override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Template Engines in NodeJS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Integrating NodeJS and MongoDB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NODE.JS RESTful API</w:t>
            </w:r>
          </w:p>
          <w:p>
            <w:pPr>
              <w:autoSpaceDN w:val="0"/>
              <w:autoSpaceDE w:val="0"/>
              <w:widowControl/>
              <w:spacing w:line="276" w:lineRule="exact" w:before="282" w:after="0"/>
              <w:ind w:left="362" w:right="2304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Event Management in NodeJS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Event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EventEmitter and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EventListner and EventHandler in NodeJS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Asynchronus Event Management</w:t>
            </w:r>
          </w:p>
          <w:p>
            <w:pPr>
              <w:autoSpaceDN w:val="0"/>
              <w:autoSpaceDE w:val="0"/>
              <w:widowControl/>
              <w:spacing w:line="276" w:lineRule="exact" w:before="258" w:after="0"/>
              <w:ind w:left="346" w:right="2304" w:hanging="34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Node in New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Next Generation NodeJS Framework - Koa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Working of Koa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NodeJS and IoT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Node and Adruino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Node and Raspberry Pi</w:t>
            </w:r>
          </w:p>
        </w:tc>
      </w:tr>
      <w:tr>
        <w:trPr>
          <w:trHeight w:hRule="exact" w:val="282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  <w:tab w:pos="346" w:val="left"/>
                <w:tab w:pos="352" w:val="left"/>
              </w:tabs>
              <w:autoSpaceDE w:val="0"/>
              <w:widowControl/>
              <w:spacing w:line="256" w:lineRule="exact" w:before="68" w:after="0"/>
              <w:ind w:left="106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Learning Node Moving to the server side Shelley Powers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O’Relly SPD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Buliding Node Applications with MongoDB and Backbone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Mike Wilson O’Relly SPD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GEO, CouchDB &amp; NodeJS Mick Thompson O’Relly SPD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Web Development with Node and Express, Ethan Brown 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O’Relly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Node.js in Action, Alex Young, Bradley Meck, Mike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Cantelon, Tim Oxley , Marc Harter, T.J. Holowaychuk,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Nathan Rajlich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38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41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SEC-2 Advanced Cloud Programming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Advanced Cloud Computing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course is to establish foundation of micro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service architecture technologies and cloud computing</w:t>
            </w:r>
          </w:p>
        </w:tc>
      </w:tr>
      <w:tr>
        <w:trPr>
          <w:trHeight w:hRule="exact" w:val="16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3625"/>
              <w:gridCol w:w="3625"/>
            </w:tblGrid>
            <w:tr>
              <w:trPr>
                <w:trHeight w:hRule="exact" w:val="1454"/>
              </w:trPr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16" w:after="0"/>
                    <w:ind w:left="16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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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276" w:after="0"/>
                    <w:ind w:left="16" w:right="0" w:firstLine="0"/>
                    <w:jc w:val="left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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4"/>
                    </w:rPr>
                    <w:t></w:t>
                  </w:r>
                </w:p>
              </w:tc>
              <w:tc>
                <w:tcPr>
                  <w:tcW w:type="dxa" w:w="6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13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develop and deploy Microservices for cloud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understand Amazon cloud services, Google cloud services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Azure cloud services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implement micro services with DevOps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follow the DevOps practices for software development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 knowledge of software engineering, programming,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networking, internet and types of Information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40" w:lineRule="exact" w:before="82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 the course, a student should be able to: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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Achieve containerization using Docker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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Develop the Microservices for cloud and deploy them on cloud.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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Thoroughly build the applications in the DevOps way.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19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6" w:after="0"/>
              <w:ind w:left="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Fundamentals of Cloud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Evolution of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Cloud characteristics and challenges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Cloud Computing Essentials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Cloud Computing Architectural Framework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Cloud Deployment Models</w:t>
            </w:r>
          </w:p>
          <w:p>
            <w:pPr>
              <w:autoSpaceDN w:val="0"/>
              <w:tabs>
                <w:tab w:pos="222" w:val="left"/>
                <w:tab w:pos="242" w:val="left"/>
              </w:tabs>
              <w:autoSpaceDE w:val="0"/>
              <w:widowControl/>
              <w:spacing w:line="238" w:lineRule="exact" w:before="244" w:after="0"/>
              <w:ind w:left="2" w:right="273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Virtualization and Containerization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Virtualization in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Parallelization in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Introduction to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2.3.1 Concept of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2.3.2 Need of Containerization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2.3.3 Containerization and Virtualization</w:t>
            </w:r>
          </w:p>
          <w:p>
            <w:pPr>
              <w:autoSpaceDN w:val="0"/>
              <w:tabs>
                <w:tab w:pos="106" w:val="left"/>
                <w:tab w:pos="222" w:val="left"/>
              </w:tabs>
              <w:autoSpaceDE w:val="0"/>
              <w:widowControl/>
              <w:spacing w:line="238" w:lineRule="exact" w:before="218" w:after="0"/>
              <w:ind w:left="2" w:right="172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Cloud Service Models &amp; Cloud Based Systems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Infrastructure as a Service(IaaS)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3.1.1 Server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3.1.2 Storage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3.1.3 Network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Platform as a Service(PaaS)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3.2.1 Azure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3.2.2 GooleAppEng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3.2.3 Hadoop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3.2.4 SalesForce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Software as a Service (SaaS)</w:t>
            </w:r>
          </w:p>
        </w:tc>
      </w:tr>
    </w:tbl>
    <w:p>
      <w:pPr>
        <w:autoSpaceDN w:val="0"/>
        <w:autoSpaceDE w:val="0"/>
        <w:widowControl/>
        <w:spacing w:line="298" w:lineRule="exact" w:before="7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39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293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4" w:after="0"/>
              <w:ind w:left="222" w:right="50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3.3.1 Cloud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3.3.2 Web portal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3.3.3 Web OS</w:t>
            </w:r>
          </w:p>
          <w:p>
            <w:pPr>
              <w:autoSpaceDN w:val="0"/>
              <w:tabs>
                <w:tab w:pos="440" w:val="left"/>
                <w:tab w:pos="466" w:val="left"/>
              </w:tabs>
              <w:autoSpaceDE w:val="0"/>
              <w:widowControl/>
              <w:spacing w:line="238" w:lineRule="exact" w:before="244" w:after="0"/>
              <w:ind w:left="106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Cloud Infrastructure and Architectures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Cloud Computing Stack - Composability, Infrastructure, Platforms,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Virtual Applications, Communication Protocols, Applications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Cloud Based Storage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4.2.1 Provisioning Cloud Storage - Unmanaged and Managed cloud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storage, creating cloud storage systems, virtual storage containers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Service Level Agreement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Cloud Security Concepts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 Inter Cloud Communication</w:t>
            </w:r>
          </w:p>
          <w:p>
            <w:pPr>
              <w:autoSpaceDN w:val="0"/>
              <w:tabs>
                <w:tab w:pos="122" w:val="left"/>
                <w:tab w:pos="182" w:val="left"/>
                <w:tab w:pos="440" w:val="left"/>
              </w:tabs>
              <w:autoSpaceDE w:val="0"/>
              <w:widowControl/>
              <w:spacing w:line="276" w:lineRule="exact" w:before="276" w:after="0"/>
              <w:ind w:left="2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Evolution of Micro Services Architecture (MSA)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Current architectural styles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5.1.1 Monolithic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5.1.2 Service oriented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5.1.3 Micro service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 Dec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omposition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>Decompose by business ca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pability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>Decompose by subdom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ain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Self-contained 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ervice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Service per team</w:t>
                </w:r>
              </w:hyperlink>
            </w:r>
          </w:p>
          <w:p>
            <w:pPr>
              <w:autoSpaceDN w:val="0"/>
              <w:tabs>
                <w:tab w:pos="176" w:val="left"/>
                <w:tab w:pos="182" w:val="left"/>
                <w:tab w:pos="440" w:val="left"/>
              </w:tabs>
              <w:autoSpaceDE w:val="0"/>
              <w:widowControl/>
              <w:spacing w:line="276" w:lineRule="exact" w:before="280" w:after="0"/>
              <w:ind w:left="2" w:right="230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MSA – Data and Transaction Aspects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 Data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 management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Database per Se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rvice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Shar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 xml:space="preserve">ed database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 xml:space="preserve">Saga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API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C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omposition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CQRS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Domai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n event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Event sourcin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 xml:space="preserve">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6.2 Tran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sactional mess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aging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 xml:space="preserve">Transactional outbox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>Transaction log 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8" w:history="1">
                <w:r>
                  <w:rPr>
                    <w:rStyle w:val="Hyperlink"/>
                  </w:rPr>
                  <w:t>ailin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 xml:space="preserve">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19" w:history="1">
                <w:r>
                  <w:rPr>
                    <w:rStyle w:val="Hyperlink"/>
                  </w:rPr>
                  <w:t xml:space="preserve">Polling publisher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 Faul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0" w:history="1">
                <w:r>
                  <w:rPr>
                    <w:rStyle w:val="Hyperlink"/>
                  </w:rPr>
                  <w:t>t Tolerance using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Circuit Breaker Pattern</w:t>
            </w:r>
          </w:p>
          <w:p>
            <w:pPr>
              <w:autoSpaceDN w:val="0"/>
              <w:autoSpaceDE w:val="0"/>
              <w:widowControl/>
              <w:spacing w:line="238" w:lineRule="exact" w:before="258" w:after="0"/>
              <w:ind w:left="106" w:right="244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Micro Services with DevOps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Embracing DevOps in MSA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Ecology of MSA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Micro Servers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Rest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Packaging Micro Services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7.6 Containerization with Docker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7.7 Docker Client Commands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7.8 Data Caching for Micro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7.9 Container Orchestration and Load Balancing</w:t>
            </w:r>
          </w:p>
        </w:tc>
      </w:tr>
    </w:tbl>
    <w:p>
      <w:pPr>
        <w:autoSpaceDN w:val="0"/>
        <w:autoSpaceDE w:val="0"/>
        <w:widowControl/>
        <w:spacing w:line="298" w:lineRule="exact" w:before="16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40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91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4" w:after="0"/>
              <w:ind w:left="106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7.10 Security Propagation across Micro Services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Realizing MSA based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Micro Profile based Application for MSA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Service Discovery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 Deploying MSA based Applications on cloud.</w:t>
            </w:r>
          </w:p>
        </w:tc>
      </w:tr>
      <w:tr>
        <w:trPr>
          <w:trHeight w:hRule="exact" w:val="96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" w:val="left"/>
                <w:tab w:pos="242" w:val="left"/>
              </w:tabs>
              <w:autoSpaceDE w:val="0"/>
              <w:widowControl/>
              <w:spacing w:line="276" w:lineRule="exact" w:before="46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 Newcomer &amp; Lomow, “Understanding SOA with Web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Services”, Pearson Education, 2007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Bieberstein,Bose,Fiammante,Jones and Shah “Service-Oriented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Architecture(SOA) Compass”, Pearson Education, 2010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Thomas Erl, “Service-Oriented Architecture: Concepts, Technology,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Design”, Pearson Education, 2005.</w:t>
            </w:r>
          </w:p>
          <w:p>
            <w:pPr>
              <w:autoSpaceDN w:val="0"/>
              <w:tabs>
                <w:tab w:pos="242" w:val="left"/>
              </w:tabs>
              <w:autoSpaceDE w:val="0"/>
              <w:widowControl/>
              <w:spacing w:line="276" w:lineRule="exact" w:before="4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Thomas Erl, “SOA: Principles of Service Design “,Pearson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Education, 2009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Pulier and Taylor, “Understanding Enterprise SOA”, DreamTech,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Michael HAvey, “SOA cookbook”, SPD, 2008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Cloud Computing: Principles and Paradigms - R. Buyya et al-Wiley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 Cloud Computing Bible - Sosinsky - Wiley - India,2011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Cloud Computing Second Edition Dr. Kumar Saurabh - Wiley - India,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Building Microservices Paperbackby Sam Newman, SPD Press, 2017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 Microservices for Java EE Architects: Addendum for The Java EE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Architect's Handbook by Derek C. Ashmore,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 Kubernetes Microservices with Docker by Deepak Vohra,Apress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 Docker Quick Start Guide: Learn Docker like a boss, and finally own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your applications by Earl Waud, PACKT publications,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 Apache ZooKeeper Essentials by Saurav Haloi, PACKT publications,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2015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15. Hazelcast A Complete Guide - 2019 Edition by Gerardus Blokdyk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publication: 5STARCooks, 2019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16. Microservices Patterns: With examples in Java by Chris Richardson,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Publisher: Manning Publications,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17. Microservices and Containers 1st Edition by Parminder Singh, Kocher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 - Addison-Wesley Professional, 2018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18. Hands-On Microservices with Kubernetes: Build, deploy, and manage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scalable microservices on Kubernetes, by Gigi Sayfan,Packt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4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41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25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DSC-2-1: Cyber Security and Forensics-2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Cyber Security and Computer Forensics-2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0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Conceptualize the students with the concepts of computer forensics methodology</w:t>
            </w:r>
          </w:p>
        </w:tc>
      </w:tr>
      <w:tr>
        <w:trPr>
          <w:trHeight w:hRule="exact" w:val="7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Familiarization with different objectives associated with different forensic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techniques. Different stages of forensic investigation process life cycle can focus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broad idea of the forensic process.</w:t>
            </w:r>
          </w:p>
        </w:tc>
      </w:tr>
      <w:tr>
        <w:trPr>
          <w:trHeight w:hRule="exact" w:val="55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2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knowledge of Cyber security, Information security, computer network,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operating systems and hardware mechanism of IT peripherals.</w:t>
            </w:r>
          </w:p>
        </w:tc>
      </w:tr>
      <w:tr>
        <w:trPr>
          <w:trHeight w:hRule="exact" w:val="73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Get familiar with different stages of forensic life cycle.</w:t>
            </w:r>
          </w:p>
          <w:p>
            <w:pPr>
              <w:autoSpaceDN w:val="0"/>
              <w:autoSpaceDE w:val="0"/>
              <w:widowControl/>
              <w:spacing w:line="240" w:lineRule="exact" w:before="82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Get aware about different methodologies of forensic investigation process.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Get equipped with different forensic investing tool.</w:t>
            </w:r>
          </w:p>
        </w:tc>
      </w:tr>
      <w:tr>
        <w:trPr>
          <w:trHeight w:hRule="exact" w:val="28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94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Couse Description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8" w:right="88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Basic terminology associated with forensic investigation process, types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forensic technology, data recovery, evidence collection and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seizure, duplication and preservation of digital evidence, computer image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verification and authentication, reconstructing past event to collect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evidence. Moreover forensic investigation process of computer, network,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 mail, android, i-phone, printer, scanner, pda etc. is covered as subject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content.</w:t>
            </w:r>
          </w:p>
        </w:tc>
      </w:tr>
      <w:tr>
        <w:trPr>
          <w:trHeight w:hRule="exact" w:val="544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128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1: Mobile application Security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4037"/>
              <w:gridCol w:w="4037"/>
            </w:tblGrid>
            <w:tr>
              <w:trPr>
                <w:trHeight w:hRule="exact" w:val="2346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8" w:after="0"/>
                    <w:ind w:left="68" w:right="1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1.4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1.5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1.6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1.7</w:t>
                  </w:r>
                </w:p>
              </w:tc>
              <w:tc>
                <w:tcPr>
                  <w:tcW w:type="dxa" w:w="5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8" w:after="0"/>
                    <w:ind w:left="172" w:right="158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Issues in mobile devices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Securing mobile app development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Bluetooth &amp; SMS security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Android, IOS , Windows Mobile security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Enterprise security on mobile OS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Mobile Malware’s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Mobile resource privacy concern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32" w:lineRule="exact" w:before="206" w:after="13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2: Cloud storage security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4037"/>
              <w:gridCol w:w="4037"/>
            </w:tblGrid>
            <w:tr>
              <w:trPr>
                <w:trHeight w:hRule="exact" w:val="1962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6" w:after="0"/>
                    <w:ind w:left="68" w:right="15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2.1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2.2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2.3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2.4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2.5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2.6</w:t>
                  </w:r>
                </w:p>
              </w:tc>
              <w:tc>
                <w:tcPr>
                  <w:tcW w:type="dxa" w:w="6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8" w:lineRule="exact" w:before="66" w:after="0"/>
                    <w:ind w:left="172" w:right="115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Security planning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Security boundaries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Key points to CSA Model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Understanding data security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Working of brokered cloud storage access system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Managing cloud operations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8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42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310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3: Practical’s &amp; Case Studies</w:t>
            </w:r>
          </w:p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318" w:lineRule="exact" w:before="196" w:after="0"/>
              <w:ind w:left="24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Various commands: ping, tracert, ipconfig, netstat, netstat, arp, nbtstat,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hostname, tracert, nslookup, route, pathping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Using vmware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Configuring and using firewall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SQL Injection examples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DOS Attack examples</w:t>
            </w:r>
          </w:p>
          <w:p>
            <w:pPr>
              <w:autoSpaceDN w:val="0"/>
              <w:autoSpaceDE w:val="0"/>
              <w:widowControl/>
              <w:spacing w:line="332" w:lineRule="exact" w:before="19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4: Forensic investigation tools</w:t>
            </w:r>
          </w:p>
          <w:p>
            <w:pPr>
              <w:autoSpaceDN w:val="0"/>
              <w:autoSpaceDE w:val="0"/>
              <w:widowControl/>
              <w:spacing w:line="318" w:lineRule="exact" w:before="194" w:after="0"/>
              <w:ind w:left="240" w:right="50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 E-discovery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 EDRM Models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 Autopsy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1.4. Encrypted disk detector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1.5. Network miner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1.6. Ram capture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1.7. Splunk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1.8. FAW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1.9. Xplico</w:t>
            </w:r>
          </w:p>
          <w:p>
            <w:pPr>
              <w:autoSpaceDN w:val="0"/>
              <w:autoSpaceDE w:val="0"/>
              <w:widowControl/>
              <w:spacing w:line="332" w:lineRule="exact" w:before="26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5: Windows forensic</w:t>
            </w:r>
          </w:p>
          <w:p>
            <w:pPr>
              <w:autoSpaceDN w:val="0"/>
              <w:autoSpaceDE w:val="0"/>
              <w:widowControl/>
              <w:spacing w:line="318" w:lineRule="exact" w:before="196" w:after="0"/>
              <w:ind w:left="240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Volatile and non volatile data collection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Registry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Browser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File system and meta data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Event log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 Crash dump analysis</w:t>
            </w:r>
          </w:p>
          <w:p>
            <w:pPr>
              <w:autoSpaceDN w:val="0"/>
              <w:autoSpaceDE w:val="0"/>
              <w:widowControl/>
              <w:spacing w:line="332" w:lineRule="exact" w:before="26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6: Network forensic</w:t>
            </w:r>
          </w:p>
          <w:p>
            <w:pPr>
              <w:autoSpaceDN w:val="0"/>
              <w:autoSpaceDE w:val="0"/>
              <w:widowControl/>
              <w:spacing w:line="318" w:lineRule="exact" w:before="194" w:after="0"/>
              <w:ind w:left="240" w:right="302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Understanding protocols with wireshark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Packet capture using wireshark and tcpdump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Packet filtering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Investigating network traffic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6.5 Network component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6.6 Router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6.7 Network log analysis</w:t>
            </w:r>
          </w:p>
          <w:p>
            <w:pPr>
              <w:autoSpaceDN w:val="0"/>
              <w:autoSpaceDE w:val="0"/>
              <w:widowControl/>
              <w:spacing w:line="332" w:lineRule="exact" w:before="26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7: Wireless network forensic</w:t>
            </w:r>
          </w:p>
          <w:p>
            <w:pPr>
              <w:autoSpaceDN w:val="0"/>
              <w:autoSpaceDE w:val="0"/>
              <w:widowControl/>
              <w:spacing w:line="324" w:lineRule="exact" w:before="190" w:after="0"/>
              <w:ind w:left="2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 Forensic analysis of hand held devices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43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417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" w:after="0"/>
              <w:ind w:left="240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Proliferation and diversity of hand held devices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Personal security and RFID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GPS Jamming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Capturing wireless traffic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7.6 Wearable device forensic</w:t>
            </w:r>
          </w:p>
          <w:p>
            <w:pPr>
              <w:autoSpaceDN w:val="0"/>
              <w:autoSpaceDE w:val="0"/>
              <w:widowControl/>
              <w:spacing w:line="332" w:lineRule="exact" w:before="26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8: Cloud forensics</w:t>
            </w:r>
          </w:p>
          <w:p>
            <w:pPr>
              <w:autoSpaceDN w:val="0"/>
              <w:autoSpaceDE w:val="0"/>
              <w:widowControl/>
              <w:spacing w:line="318" w:lineRule="exact" w:before="194" w:after="0"/>
              <w:ind w:left="24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Introduction to cloud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Challenges faced by CSP due to international law enforcement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Cloud storage forensic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Google drive and Drop box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8.5 Case study</w:t>
            </w:r>
          </w:p>
        </w:tc>
      </w:tr>
      <w:tr>
        <w:trPr>
          <w:trHeight w:hRule="exact" w:val="243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Bookss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318" w:lineRule="exact" w:before="4" w:after="0"/>
              <w:ind w:left="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Computer forensic by John R. Vacca, Firewall media,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Computer forensic, Nina godbole, sunit belapure,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Wireless crime and forensic investigation, Gregory kipper, Auerbach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(Tallor and Francis group)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Computer forensic and cyber crime 3</w:t>
            </w:r>
            <w:r>
              <w:rPr>
                <w:w w:val="97.50000238418579"/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rd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edition, by Marjie Britz, Pearson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Computer forensic investigation network intrusion and cyber crime EC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Council, course technology</w:t>
            </w:r>
          </w:p>
        </w:tc>
      </w:tr>
      <w:tr>
        <w:trPr>
          <w:trHeight w:hRule="exact" w:val="52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517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44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85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DSC-2-2: UI/UX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UI/UX Development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0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127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make relevant &amp; up to-date in the digital world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deep understanding of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UX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Learn to create persuasive user experience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get an edge over the others. It is design-centric approach to user interface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user experience design, and offers practical, skill-based instruction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centered around a visual communications perspective.</w:t>
            </w:r>
          </w:p>
        </w:tc>
      </w:tr>
      <w:tr>
        <w:trPr>
          <w:trHeight w:hRule="exact" w:val="93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" w:after="0"/>
              <w:ind w:left="2" w:right="63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UI design is about the look and feel of the website or application.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UX design improves the overall experience of the users when they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interact with the website or application.</w:t>
            </w:r>
          </w:p>
        </w:tc>
      </w:tr>
      <w:tr>
        <w:trPr>
          <w:trHeight w:hRule="exact" w:val="55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Knowledge of software designing &amp; prototyping is required.</w:t>
            </w:r>
          </w:p>
        </w:tc>
      </w:tr>
      <w:tr>
        <w:trPr>
          <w:trHeight w:hRule="exact" w:val="332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174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successful completion of this subject, a student will be able to: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0.0" w:type="dxa"/>
            </w:tblPr>
            <w:tblGrid>
              <w:gridCol w:w="3625"/>
              <w:gridCol w:w="3625"/>
            </w:tblGrid>
            <w:tr>
              <w:trPr>
                <w:trHeight w:hRule="exact" w:val="2632"/>
              </w:trPr>
              <w:tc>
                <w:tcPr>
                  <w:tcW w:type="dxa" w:w="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58" w:lineRule="exact" w:before="0" w:after="0"/>
                    <w:ind w:left="192" w:right="116" w:firstLine="0"/>
                    <w:jc w:val="both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0"/>
                    </w:rPr>
                    <w:t></w:t>
                  </w:r>
                </w:p>
              </w:tc>
              <w:tc>
                <w:tcPr>
                  <w:tcW w:type="dxa" w:w="6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8" w:after="0"/>
                    <w:ind w:left="1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Describe aspects of user interaction and cognition as they relate to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UI/UX.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5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Explain the role and importance of Standards, Technologies, and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Guidelines in the UX process and UI process.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5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Select and apply appropriate methods for analysing a design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Select and apply the relevant descriptive statistical tests associated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with UX 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52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Analyse problems associated with different designs and suggests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solutions for their resolution.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4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Desc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iption: 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" w:right="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UI/UX Design brings a design-centric approach to user interface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user experience design, and offers practical, skill-based instruction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centered around a visual communications perspective, rather than on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focused on marketing or programming alone. In this sequence of courses,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summarize and demonstrate different stages of the UI/UX development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process, from user research to defining a project’s strategy, scope,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architecture, to developing sitemaps and wireframes. Students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 learn conventions in UX design and apply them to create effective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compelling screen-based experiences for websites or apps.</w:t>
            </w:r>
          </w:p>
        </w:tc>
      </w:tr>
    </w:tbl>
    <w:p>
      <w:pPr>
        <w:autoSpaceDN w:val="0"/>
        <w:autoSpaceDE w:val="0"/>
        <w:widowControl/>
        <w:spacing w:line="298" w:lineRule="exact" w:before="133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45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646"/>
        </w:trPr>
        <w:tc>
          <w:tcPr>
            <w:tcW w:type="dxa" w:w="21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240" w:right="4464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UI/UX Overview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Introduction to UI/UX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Good vs. Bad UX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UX Vs. UI</w:t>
            </w:r>
          </w:p>
        </w:tc>
      </w:tr>
      <w:tr>
        <w:trPr>
          <w:trHeight w:hRule="exact" w:val="1450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240" w:right="1584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Design Thinking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Introduction to user experience design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Carrying out user research and report findings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Mapping user journey and experience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 Creating information architecture using card sorting</w:t>
            </w:r>
          </w:p>
        </w:tc>
      </w:tr>
      <w:tr>
        <w:trPr>
          <w:trHeight w:hRule="exact" w:val="1668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240" w:right="3168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Design Sprint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Define Design Sprint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Phases of Design Sprint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Requirement to run a Design Sprint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Team Design Sprint</w:t>
            </w:r>
          </w:p>
        </w:tc>
      </w:tr>
      <w:tr>
        <w:trPr>
          <w:trHeight w:hRule="exact" w:val="3326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8" w:after="0"/>
              <w:ind w:left="240" w:right="1440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User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UX research sub-sets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How to identify stakeholders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Defining Stakeholders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How to identify user needs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Principles of UX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Innovation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4.6 Culture and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4.7 Sustainable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4.8 Applied Ergonomics [Human factor principles in UX]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4.9 Research with Empathy in mind</w:t>
            </w:r>
          </w:p>
        </w:tc>
      </w:tr>
      <w:tr>
        <w:trPr>
          <w:trHeight w:hRule="exact" w:val="2216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0" w:after="0"/>
              <w:ind w:left="240" w:right="2160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UI Design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UI principles &amp;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Typography and importance of content design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Accessibility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Iconography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Graphics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5.6 designing with development in mind</w:t>
            </w:r>
          </w:p>
        </w:tc>
      </w:tr>
      <w:tr>
        <w:trPr>
          <w:trHeight w:hRule="exact" w:val="1670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6" w:after="0"/>
              <w:ind w:left="240" w:right="2880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User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 Usability testing remotely &amp; in person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6.2. Steps to perform usability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6.3. A/B testing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6.4. looking into analytics</w:t>
            </w:r>
          </w:p>
        </w:tc>
      </w:tr>
      <w:tr>
        <w:trPr>
          <w:trHeight w:hRule="exact" w:val="1112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2" w:after="0"/>
              <w:ind w:left="240" w:right="3024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User Manual Designing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User persona’s [Structuring content]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7.2 User Journey maps</w:t>
            </w:r>
          </w:p>
        </w:tc>
      </w:tr>
    </w:tbl>
    <w:p>
      <w:pPr>
        <w:autoSpaceDN w:val="0"/>
        <w:autoSpaceDE w:val="0"/>
        <w:widowControl/>
        <w:spacing w:line="298" w:lineRule="exact" w:before="1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46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392"/>
        </w:trPr>
        <w:tc>
          <w:tcPr>
            <w:tcW w:type="dxa" w:w="21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40" w:right="360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Making a Decision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User Stories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4-step Sketch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 Low &amp; High fidelity wireframe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7.6 User testing</w:t>
            </w:r>
          </w:p>
        </w:tc>
      </w:tr>
      <w:tr>
        <w:trPr>
          <w:trHeight w:hRule="exact" w:val="3326"/>
        </w:trPr>
        <w:tc>
          <w:tcPr>
            <w:tcW w:type="dxa" w:w="526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2" w:after="0"/>
              <w:ind w:left="240" w:right="2880" w:hanging="23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Wireframing &amp; Rapid Prototyping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Notion &amp; Figma Setup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Figma basics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Figma prototype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8.4 Figma Layout and Grayscale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8.5 TextColor, Font, icon &amp; graphics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8.6 UI Components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8.7 Responsive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8.8 Testing &amp; Refactoring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8.9 Creating an impressive portfolio</w:t>
            </w:r>
          </w:p>
        </w:tc>
      </w:tr>
      <w:tr>
        <w:trPr>
          <w:trHeight w:hRule="exact" w:val="25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9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2" w:val="left"/>
              </w:tabs>
              <w:autoSpaceDE w:val="0"/>
              <w:widowControl/>
              <w:spacing w:line="276" w:lineRule="exact" w:before="46" w:after="0"/>
              <w:ind w:left="12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UI is Communication By Everett N McKay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Simple and Usable Web, Mobile, and Interaction Design By Giles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Colborne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Designing Interfaces , By Jenifer Tidwell, O’Reilly publication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About Face: The Essentials of Interaction Design ,By Alan Cooper,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Robert Reimann, David Cronin, Christopher Noessel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The UX Book , By Rex Hartson and Pardha Pyla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 Smashing UX Design ,By Jesmond Allen and James Chudley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435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47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69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DSC-2-3: Research in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4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Research in Computing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8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8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(Including Class work, examination, preparation, holidays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4" w:after="0"/>
              <w:ind w:left="21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implementing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and toolrelated to machinelearning</w:t>
            </w:r>
          </w:p>
        </w:tc>
      </w:tr>
      <w:tr>
        <w:trPr>
          <w:trHeight w:hRule="exact" w:val="100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6" w:val="left"/>
              </w:tabs>
              <w:autoSpaceDE w:val="0"/>
              <w:widowControl/>
              <w:spacing w:line="252" w:lineRule="exact" w:before="72" w:after="0"/>
              <w:ind w:left="118" w:right="144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learn about fundamentals of research in computer science.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learn about research work, research writing and emerging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research areas of computer science.</w:t>
            </w:r>
          </w:p>
        </w:tc>
      </w:tr>
      <w:tr>
        <w:trPr>
          <w:trHeight w:hRule="exact" w:val="5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Computer Science, Mathematics and Statistics</w:t>
            </w:r>
          </w:p>
        </w:tc>
      </w:tr>
      <w:tr>
        <w:trPr>
          <w:trHeight w:hRule="exact" w:val="7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 models and implement predictive analytics on social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286" w:right="3024" w:hanging="28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Research: a way of thinking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Types of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Research Problem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 Conducting a research study</w:t>
            </w:r>
          </w:p>
          <w:p>
            <w:pPr>
              <w:autoSpaceDN w:val="0"/>
              <w:tabs>
                <w:tab w:pos="286" w:val="left"/>
                <w:tab w:pos="346" w:val="left"/>
                <w:tab w:pos="466" w:val="left"/>
                <w:tab w:pos="482" w:val="left"/>
              </w:tabs>
              <w:autoSpaceDE w:val="0"/>
              <w:widowControl/>
              <w:spacing w:line="252" w:lineRule="exact" w:before="254" w:after="0"/>
              <w:ind w:left="2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Literature Review and Hypotheses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How to review the literature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2.1.1 Searching Literature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2.1.2 Reviewing Literature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2.1.3 Writing about Reviewed Literature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Definition of hypothesis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 Types and characteristic of Hypothesis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346" w:right="1584" w:hanging="34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Research Methods and Data Collection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Survey Research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Observation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Methods of data collection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Concept of Sampling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3.5 Types of Sampling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3.6 Determination of Sample Size</w:t>
            </w:r>
          </w:p>
          <w:p>
            <w:pPr>
              <w:autoSpaceDN w:val="0"/>
              <w:autoSpaceDE w:val="0"/>
              <w:widowControl/>
              <w:spacing w:line="252" w:lineRule="exact" w:before="234" w:after="0"/>
              <w:ind w:left="422" w:right="1872" w:hanging="42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Data Analysis and Presentation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Data gathering, validation, and analysis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User studies, surveys, and survey tools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Statistical Modelling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Mathematical Modeling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 Performance metrics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4.6 Simulation</w:t>
            </w:r>
          </w:p>
        </w:tc>
      </w:tr>
    </w:tbl>
    <w:p>
      <w:pPr>
        <w:autoSpaceDN w:val="0"/>
        <w:autoSpaceDE w:val="0"/>
        <w:widowControl/>
        <w:spacing w:line="298" w:lineRule="exact" w:before="14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48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2.000000000000028" w:type="dxa"/>
      </w:tblPr>
      <w:tblGrid>
        <w:gridCol w:w="5264"/>
        <w:gridCol w:w="5264"/>
      </w:tblGrid>
      <w:tr>
        <w:trPr>
          <w:trHeight w:hRule="exact" w:val="924"/>
        </w:trPr>
        <w:tc>
          <w:tcPr>
            <w:tcW w:type="dxa" w:w="8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302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2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426"/>
        </w:trPr>
        <w:tc>
          <w:tcPr>
            <w:tcW w:type="dxa" w:w="10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260"/>
              <w:gridCol w:w="5260"/>
            </w:tblGrid>
            <w:tr>
              <w:trPr>
                <w:trHeight w:hRule="exact" w:val="13406"/>
              </w:trPr>
              <w:tc>
                <w:tcPr>
                  <w:tcW w:type="dxa" w:w="9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0.0" w:type="dxa"/>
                  </w:tblPr>
                  <w:tblGrid>
                    <w:gridCol w:w="4950"/>
                    <w:gridCol w:w="4950"/>
                  </w:tblGrid>
                  <w:tr>
                    <w:trPr>
                      <w:trHeight w:hRule="exact" w:val="9334"/>
                    </w:trPr>
                    <w:tc>
                      <w:tcPr>
                        <w:tcW w:type="dxa" w:w="2990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6496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2" w:lineRule="exact" w:before="0" w:after="0"/>
                          <w:ind w:left="422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4.7 Presentation and tools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260" w:after="0"/>
                          <w:ind w:left="362" w:right="1008" w:hanging="36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5: Proposing and Performing Research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5.1 Types of papers (survey, position, research, etc.)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5.2 Problem identification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5.3 Literature review and citation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5.4 Identifying subjects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5.5 Selecting appropriate methodology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5.6 Assessment and validation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260" w:after="0"/>
                          <w:ind w:left="362" w:right="3168" w:hanging="30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6: Conduct of Research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6.1 Ethics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6.2 Plagiarism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6.3 Intellectual property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6.4 Technical writing, formats</w:t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260" w:after="0"/>
                          <w:ind w:left="362" w:right="2016" w:hanging="36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7: Research Domains in Computing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7.1 Artificial Intelligence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7.2 Data Mining and Data Science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7.3 Machine Learning and Deep Learning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7.4 Computational Linguistic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7.5 Image Processing</w:t>
                        </w:r>
                      </w:p>
                      <w:p>
                        <w:pPr>
                          <w:autoSpaceDN w:val="0"/>
                          <w:tabs>
                            <w:tab w:pos="346" w:val="left"/>
                            <w:tab w:pos="362" w:val="left"/>
                            <w:tab w:pos="406" w:val="left"/>
                            <w:tab w:pos="706" w:val="left"/>
                            <w:tab w:pos="722" w:val="left"/>
                            <w:tab w:pos="766" w:val="left"/>
                            <w:tab w:pos="842" w:val="left"/>
                          </w:tabs>
                          <w:autoSpaceDE w:val="0"/>
                          <w:widowControl/>
                          <w:spacing w:line="252" w:lineRule="exact" w:before="236" w:after="0"/>
                          <w:ind w:left="2" w:right="0" w:firstLine="0"/>
                          <w:jc w:val="left"/>
                        </w:pPr>
                        <w:r>
                          <w:rPr>
                            <w:rFonts w:ascii="TimesNewRomanPS" w:hAnsi="TimesNewRomanPS" w:eastAsia="TimesNewRomanPS"/>
                            <w:b/>
                            <w:i w:val="0"/>
                            <w:color w:val="000000"/>
                            <w:sz w:val="24"/>
                          </w:rPr>
                          <w:t xml:space="preserve">Unit 8: Multidisciplinary Research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8.1 Internet of Things in Medical, Agricultural and Industrial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Domains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8.2 Computational Biology : Computational Genomics,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Computational Proteomics, Bioinformatics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8.3 Education : Accreditation, Assessment, Pedagogy,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Educational Tools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8.4 Molecular Computing : Algorithmic Self-Assembly,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Chemical Reaction Networks, DNA Strand Displacement,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DNA Sequence Design, Thermodynamic Computing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8.5 Network Science - Complex Networks, Social Networks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8.6 Quantum Computing: Quantum Complexity Theory, </w:t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Post-Quantum Cryptography, Quantum Error Correcting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Codes</w:t>
                        </w:r>
                      </w:p>
                    </w:tc>
                  </w:tr>
                  <w:tr>
                    <w:trPr>
                      <w:trHeight w:hRule="exact" w:val="3768"/>
                    </w:trPr>
                    <w:tc>
                      <w:tcPr>
                        <w:tcW w:type="dxa" w:w="2990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2" w:lineRule="exact" w:before="0" w:after="0"/>
                          <w:ind w:left="10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Reference Bookss</w:t>
                        </w:r>
                      </w:p>
                    </w:tc>
                    <w:tc>
                      <w:tcPr>
                        <w:tcW w:type="dxa" w:w="6496"/>
                        <w:tcBorders>
                          <w:start w:sz="3.8399999141693115" w:val="single" w:color="#000000"/>
                          <w:top w:sz="3.8399999141693115" w:val="single" w:color="#000000"/>
                          <w:end w:sz="3.8399999141693115" w:val="single" w:color="#000000"/>
                          <w:bottom w:sz="3.8399999141693115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4" w:lineRule="exact" w:before="0" w:after="0"/>
                          <w:ind w:left="98" w:right="0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1. Research Methodology : Methods and Techniques, C.R.</w:t>
                        </w:r>
                      </w:p>
                      <w:p>
                        <w:pPr>
                          <w:autoSpaceDN w:val="0"/>
                          <w:tabs>
                            <w:tab w:pos="358" w:val="left"/>
                          </w:tabs>
                          <w:autoSpaceDE w:val="0"/>
                          <w:widowControl/>
                          <w:spacing w:line="252" w:lineRule="exact" w:before="72" w:after="0"/>
                          <w:ind w:left="98" w:right="144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Kothari, New Age Publication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2. Qualitative Research: A Guide to Design and Implementation,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4th Edition Sharan B. Merriam, Elizabeth J. Tisdell, Jossey-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Bass Publication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3. RESEARCH METHODOLOGY 2nd Edition, R.</w:t>
                        </w:r>
                      </w:p>
                      <w:p>
                        <w:pPr>
                          <w:autoSpaceDN w:val="0"/>
                          <w:tabs>
                            <w:tab w:pos="358" w:val="left"/>
                          </w:tabs>
                          <w:autoSpaceDE w:val="0"/>
                          <w:widowControl/>
                          <w:spacing w:line="252" w:lineRule="exact" w:before="72" w:after="0"/>
                          <w:ind w:left="98" w:right="288" w:firstLine="0"/>
                          <w:jc w:val="left"/>
                        </w:pP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PANNEERSELVAM, PHI Learning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4. A Guide for New Referees in Theoretical Computer Science, </w:t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by Ian Parberry.</w:t>
                        </w:r>
                      </w:p>
                      <w:p>
                        <w:pPr>
                          <w:autoSpaceDN w:val="0"/>
                          <w:tabs>
                            <w:tab w:pos="358" w:val="left"/>
                          </w:tabs>
                          <w:autoSpaceDE w:val="0"/>
                          <w:widowControl/>
                          <w:spacing w:line="252" w:lineRule="exact" w:before="72" w:after="0"/>
                          <w:ind w:left="98" w:right="576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5. A primer on mathematical writing, by Steven L. Kleiman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6. An Evolut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21" w:history="1">
                            <w:r>
                              <w:rPr>
                                <w:rStyle w:val="Hyperlink"/>
                              </w:rPr>
                              <w:t xml:space="preserve">ion of Computer Science </w:t>
                            </w:r>
                          </w:hyperlink>
                        </w:r>
                        <w:r>
                          <w:br/>
                        </w:r>
                        <w:r>
                          <w:tab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Research,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FF"/>
                            <w:sz w:val="24"/>
                            <w:u w:val="single"/>
                          </w:rPr>
                          <w:hyperlink r:id="rId21" w:history="1">
                            <w:r>
                              <w:rPr>
                                <w:rStyle w:val="Hyperlink"/>
                              </w:rPr>
                              <w:t>https://www.cs.rpi.edu/research/pdf/12-03.pdf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.</w:t>
                        </w:r>
                      </w:p>
                      <w:p>
                        <w:pPr>
                          <w:autoSpaceDN w:val="0"/>
                          <w:tabs>
                            <w:tab w:pos="178" w:val="left"/>
                          </w:tabs>
                          <w:autoSpaceDE w:val="0"/>
                          <w:widowControl/>
                          <w:spacing w:line="252" w:lineRule="exact" w:before="72" w:after="0"/>
                          <w:ind w:left="98" w:right="288" w:firstLine="0"/>
                          <w:jc w:val="left"/>
                        </w:pP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7. Associatio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hyperlink r:id="rId21" w:history="1">
                            <w:r>
                              <w:rPr>
                                <w:rStyle w:val="Hyperlink"/>
                              </w:rPr>
                              <w:t>n of Computing Machinery Computing and Pu</w:t>
                            </w:r>
                          </w:hyperlink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blic </w:t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 xml:space="preserve">Policy Page (including Code of Ethics) </w:t>
                        </w:r>
                        <w:r>
                          <w:br/>
                        </w:r>
                        <w:r>
                          <w:rPr>
                            <w:rFonts w:ascii="TimesNewRomanPSMT" w:hAnsi="TimesNewRomanPSMT" w:eastAsia="TimesNewRomanPSMT"/>
                            <w:b w:val="0"/>
                            <w:i w:val="0"/>
                            <w:color w:val="000000"/>
                            <w:sz w:val="24"/>
                          </w:rPr>
                          <w:t>8. Hints on good mathematical writing, by David Goss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13128" w:after="0"/>
                    <w:ind w:left="0" w:right="0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49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77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52" w:lineRule="exact" w:before="70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 How to do Research in the MIT AI Lab, ed. David Chapman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How to Present a Paper in Theoretical Computer Science, by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Ian Parberry.</w:t>
            </w:r>
          </w:p>
          <w:p>
            <w:pPr>
              <w:autoSpaceDN w:val="0"/>
              <w:tabs>
                <w:tab w:pos="358" w:val="left"/>
              </w:tabs>
              <w:autoSpaceDE w:val="0"/>
              <w:widowControl/>
              <w:spacing w:line="252" w:lineRule="exact" w:before="70" w:after="0"/>
              <w:ind w:left="98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 How to write a thesis in an Experimental area of Computer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Science by Doug Comer.</w:t>
            </w:r>
          </w:p>
          <w:p>
            <w:pPr>
              <w:autoSpaceDN w:val="0"/>
              <w:tabs>
                <w:tab w:pos="418" w:val="left"/>
              </w:tabs>
              <w:autoSpaceDE w:val="0"/>
              <w:widowControl/>
              <w:spacing w:line="252" w:lineRule="exact" w:before="7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12. J. Zobel, Writing For Computer Science, New York: Springer-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Verlag, 1997.</w:t>
            </w:r>
          </w:p>
        </w:tc>
      </w:tr>
      <w:tr>
        <w:trPr>
          <w:trHeight w:hRule="exact" w:val="43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work.</w:t>
            </w:r>
          </w:p>
        </w:tc>
      </w:tr>
      <w:tr>
        <w:trPr>
          <w:trHeight w:hRule="exact" w:val="109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6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6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participation, class test, quiz, assignment, seminar, internal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examination etc.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980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50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92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DSC-2-4: Machine Learning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Machine Learning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21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, methods and toolrelated to machinelearning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4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learn about fundamentals of machine learning.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learn and implement different types of ML algorithms.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4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implement and evaluate various case studies of Machine Learning.</w:t>
            </w:r>
          </w:p>
        </w:tc>
      </w:tr>
      <w:tr>
        <w:trPr>
          <w:trHeight w:hRule="exact" w:val="57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Python Programming and Basics of Data Mining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models and implement predictive analytics on social media platforms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1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402" w:right="2736" w:hanging="2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Machine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Types of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Machine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Types of Problem in 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Machine Learning Applications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 New Challenges for ML</w:t>
            </w:r>
          </w:p>
          <w:p>
            <w:pPr>
              <w:autoSpaceDN w:val="0"/>
              <w:tabs>
                <w:tab w:pos="362" w:val="left"/>
                <w:tab w:pos="542" w:val="left"/>
              </w:tabs>
              <w:autoSpaceDE w:val="0"/>
              <w:widowControl/>
              <w:spacing w:line="252" w:lineRule="exact" w:before="258" w:after="0"/>
              <w:ind w:left="2" w:right="37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Association Learning </w:t>
            </w:r>
            <w:r>
              <w:br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.1 Concept of Association Rule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Market-Basket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Support and Confidence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Algorithms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2.4.1 Apriori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2.4.2 FP-Growth</w:t>
            </w:r>
          </w:p>
          <w:p>
            <w:pPr>
              <w:autoSpaceDN w:val="0"/>
              <w:autoSpaceDE w:val="0"/>
              <w:widowControl/>
              <w:spacing w:line="272" w:lineRule="exact" w:before="226" w:after="0"/>
              <w:ind w:left="402" w:right="2880" w:hanging="4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Supervised Learning - Regression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Linear Regression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3.2 Polynomial Regression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 Logistic Regression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3.4 Evaluation Metrics for Regression</w:t>
            </w:r>
          </w:p>
          <w:p>
            <w:pPr>
              <w:autoSpaceDN w:val="0"/>
              <w:tabs>
                <w:tab w:pos="346" w:val="left"/>
                <w:tab w:pos="706" w:val="left"/>
              </w:tabs>
              <w:autoSpaceDE w:val="0"/>
              <w:widowControl/>
              <w:spacing w:line="250" w:lineRule="exact" w:before="582" w:after="0"/>
              <w:ind w:left="106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Supervised Learning - Classification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Classification: Examples and Applications NB, SVM. KNN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Classifiers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 Decision Trees : C4.5, ID3, Random Forest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Ensemble Classifiers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3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 Evaluation Metrics for Classification</w:t>
            </w:r>
          </w:p>
          <w:p>
            <w:pPr>
              <w:autoSpaceDN w:val="0"/>
              <w:autoSpaceDE w:val="0"/>
              <w:widowControl/>
              <w:spacing w:line="332" w:lineRule="exact" w:before="198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5: Artificial Neural Networks</w:t>
            </w:r>
          </w:p>
        </w:tc>
      </w:tr>
    </w:tbl>
    <w:p>
      <w:pPr>
        <w:autoSpaceDN w:val="0"/>
        <w:autoSpaceDE w:val="0"/>
        <w:widowControl/>
        <w:spacing w:line="298" w:lineRule="exact" w:before="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51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892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6" w:val="left"/>
                <w:tab w:pos="706" w:val="left"/>
              </w:tabs>
              <w:autoSpaceDE w:val="0"/>
              <w:widowControl/>
              <w:spacing w:line="276" w:lineRule="exact" w:before="48" w:after="0"/>
              <w:ind w:left="346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Neurons and biological motivation and Defining ANN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Layers and Multilayer Perceptron, weights, bias,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Activation Function, Loss function, Epochs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Linear threshold units. Perceptrons: representational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limitation and gradient descent training.</w:t>
            </w:r>
          </w:p>
          <w:p>
            <w:pPr>
              <w:autoSpaceDN w:val="0"/>
              <w:tabs>
                <w:tab w:pos="706" w:val="left"/>
              </w:tabs>
              <w:autoSpaceDE w:val="0"/>
              <w:widowControl/>
              <w:spacing w:line="276" w:lineRule="exact" w:before="48" w:after="0"/>
              <w:ind w:left="346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Types of Neural Network- Feed Forward Neural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Network, Backpropagation Neural Network Error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calculation in ANN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5.5 Learning in ANN and Learning Rate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72" w:lineRule="exact" w:before="284" w:after="0"/>
              <w:ind w:left="2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Unsupervised Learning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 Learning from unclassified data. Clustering.</w:t>
            </w:r>
          </w:p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6" w:lineRule="exact" w:before="48" w:after="0"/>
              <w:ind w:left="406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Hierarchical Aglomerative Clustering, k-means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partitional clustering.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766" w:right="1296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Expectation maximization (EM) for soft clustering.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Semi-supervised learning with EM using labeled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unlabled data.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422" w:right="40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Self Organizing Maps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Hidden Markov Models</w:t>
            </w:r>
          </w:p>
          <w:p>
            <w:pPr>
              <w:autoSpaceDN w:val="0"/>
              <w:tabs>
                <w:tab w:pos="406" w:val="left"/>
                <w:tab w:pos="428" w:val="left"/>
                <w:tab w:pos="766" w:val="left"/>
                <w:tab w:pos="788" w:val="left"/>
              </w:tabs>
              <w:autoSpaceDE w:val="0"/>
              <w:widowControl/>
              <w:spacing w:line="252" w:lineRule="exact" w:before="304" w:after="0"/>
              <w:ind w:left="6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Model Validation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ML Techniques overview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Validation Techniques (Cross-Validations)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Feature Reduction/Dimensionality reduction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Principal components analysis (Eigen values, Eigen vectors,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Orthogonality)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1.5 Generalization, Overfitting, and Underfitting, Relation of Model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Complexity to Dataset Size</w:t>
            </w:r>
          </w:p>
          <w:p>
            <w:pPr>
              <w:autoSpaceDN w:val="0"/>
              <w:autoSpaceDE w:val="0"/>
              <w:widowControl/>
              <w:spacing w:line="274" w:lineRule="exact" w:before="236" w:after="0"/>
              <w:ind w:left="406" w:right="2304" w:hanging="34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Advanced Machine Learning Concepts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Reinforcement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Transfer Learning,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 Federated Learning</w:t>
            </w:r>
          </w:p>
        </w:tc>
      </w:tr>
      <w:tr>
        <w:trPr>
          <w:trHeight w:hRule="exact" w:val="304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  <w:tab w:pos="298" w:val="left"/>
                <w:tab w:pos="358" w:val="left"/>
                <w:tab w:pos="380" w:val="left"/>
                <w:tab w:pos="390" w:val="left"/>
              </w:tabs>
              <w:autoSpaceDE w:val="0"/>
              <w:widowControl/>
              <w:spacing w:line="276" w:lineRule="exact" w:before="48" w:after="0"/>
              <w:ind w:left="11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AI an Machine Learning, Vinod Chandra SS, Anans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Hareendran S. PHI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Machine Learning with Python, Abhishek Vijayvargia, BPB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Machine Learning Hand-On for Developers and Technical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Professionals, Jason Bell,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Machine Learning for Beginners: Learn to Build Machine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Learning Systems Using Python , Harsh Bhasin, BPB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Machine Learning - Tom M. Mitchell, McgrewHill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Publication</w:t>
            </w:r>
          </w:p>
        </w:tc>
      </w:tr>
      <w:tr>
        <w:trPr>
          <w:trHeight w:hRule="exact" w:val="28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readings, assignments and a class project.</w:t>
            </w:r>
          </w:p>
        </w:tc>
      </w:tr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4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52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14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0"/>
        <w:ind w:left="0" w:right="321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DSC-2-5: Advanced Python Programming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Advanced Python Programming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of statistics, mathematics and python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 with advanced libraries.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3531"/>
              <w:gridCol w:w="3531"/>
            </w:tblGrid>
            <w:tr>
              <w:trPr>
                <w:trHeight w:hRule="exact" w:val="582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34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5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78" w:after="0"/>
                    <w:ind w:left="116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learn about fundamental of advanced computing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learn python programming with advanced libraries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Basics of Mathematics and Computer Programming</w:t>
            </w:r>
          </w:p>
        </w:tc>
      </w:tr>
      <w:tr>
        <w:trPr>
          <w:trHeight w:hRule="exact" w:val="73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be capable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understand fundamental concepts statistics, probability, regression,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mathematics and operations of computing using python.</w:t>
            </w:r>
          </w:p>
        </w:tc>
      </w:tr>
      <w:tr>
        <w:trPr>
          <w:trHeight w:hRule="exact" w:val="781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2" w:after="0"/>
              <w:ind w:left="428" w:right="1872" w:hanging="4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Fast Array Operations with Numpy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Creating, Accessing, broadcasting arrays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Mathematical operations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Calculating the norm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 Reaching optimal performance with numexpr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428" w:right="1008" w:hanging="4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Pandas and Advanced Database Operations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Pandas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Indexing Series and DataFrame objects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Database-style operations with Pandas : Mapping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Grouping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Aggregations and transforms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2.5 Joining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2.6 Graph Plots</w:t>
            </w:r>
          </w:p>
          <w:p>
            <w:pPr>
              <w:autoSpaceDN w:val="0"/>
              <w:autoSpaceDE w:val="0"/>
              <w:widowControl/>
              <w:spacing w:line="250" w:lineRule="exact" w:before="260" w:after="0"/>
              <w:ind w:left="362" w:right="2736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MatplotLib for Data Visualization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Installation and Setup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Basic Plots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Ploting Mutiple Graphs and Subplots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Embedding Text and Expressions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Saving the figure in different formats</w:t>
            </w:r>
          </w:p>
          <w:p>
            <w:pPr>
              <w:autoSpaceDN w:val="0"/>
              <w:autoSpaceDE w:val="0"/>
              <w:widowControl/>
              <w:spacing w:line="250" w:lineRule="exact" w:before="260" w:after="0"/>
              <w:ind w:left="362" w:right="259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Seaborn for Data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Importing Datasets and Libraries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Pie, bar, Scatter, Heatmaps in Seaborn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Styleing Charts using Seaborn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 Searborn Multipanel and Facet Plots</w:t>
            </w:r>
          </w:p>
          <w:p>
            <w:pPr>
              <w:autoSpaceDN w:val="0"/>
              <w:autoSpaceDE w:val="0"/>
              <w:widowControl/>
              <w:spacing w:line="248" w:lineRule="exact" w:before="236" w:after="0"/>
              <w:ind w:left="362" w:right="2592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SciKitLearn and Prediction Models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.1 Binary and Multiclass Classification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 Performance Measures</w:t>
            </w:r>
          </w:p>
        </w:tc>
      </w:tr>
    </w:tbl>
    <w:p>
      <w:pPr>
        <w:autoSpaceDN w:val="0"/>
        <w:autoSpaceDE w:val="0"/>
        <w:widowControl/>
        <w:spacing w:line="298" w:lineRule="exact" w:before="20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53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8.0" w:type="dxa"/>
      </w:tblPr>
      <w:tblGrid>
        <w:gridCol w:w="5264"/>
        <w:gridCol w:w="5264"/>
      </w:tblGrid>
      <w:tr>
        <w:trPr>
          <w:trHeight w:hRule="exact" w:val="97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440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605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362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Naive Bays Implementation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Training and Testing SVM Models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Training and Testing Decision Tree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Ensemble Learning and Random Forest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5.7 Linear and Logistic Regression Implementation</w:t>
            </w:r>
          </w:p>
          <w:p>
            <w:pPr>
              <w:autoSpaceDN w:val="0"/>
              <w:autoSpaceDE w:val="0"/>
              <w:widowControl/>
              <w:spacing w:line="250" w:lineRule="exact" w:before="260" w:after="0"/>
              <w:ind w:left="362" w:right="2304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Tensorflow and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Tensor Data Structure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Tensorboard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Tensorflow Linear Regression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Single layer Perceptron using Tensorflow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428" w:right="2736" w:hanging="42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Flask and Web Application Basics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Flask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Web Application and Page Creation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Routing in Flask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 HTTP Methods in Flask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7.5 Templates and Static Files</w:t>
            </w:r>
          </w:p>
          <w:p>
            <w:pPr>
              <w:autoSpaceDN w:val="0"/>
              <w:autoSpaceDE w:val="0"/>
              <w:widowControl/>
              <w:spacing w:line="250" w:lineRule="exact" w:before="236" w:after="0"/>
              <w:ind w:left="302" w:right="288" w:hanging="30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Deploying application using Flask and Heroku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Creating the Python Flask Example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Deploying the Application to Heroku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Using Heroku Pipelines to Implement a Deployment Workflow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 Managing Environment</w:t>
            </w:r>
          </w:p>
        </w:tc>
      </w:tr>
      <w:tr>
        <w:trPr>
          <w:trHeight w:hRule="exact" w:val="580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Bookss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6" w:val="left"/>
              </w:tabs>
              <w:autoSpaceDE w:val="0"/>
              <w:widowControl/>
              <w:spacing w:line="276" w:lineRule="exact" w:before="48" w:after="0"/>
              <w:ind w:left="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 Discrete Mathematics - Sujit Chavan, Nandani Sakhare, HImalaya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Publishing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 Computer Oriented Statistical Techniques - Dinesh Gabhane,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Madhuri S. Banker, HImalaya Publishig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3) Linear Algebra using Python - Archana Jadhav, Nandini Sakhare,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Himalya Publishing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4) Python Data Science FOR Dummies - John Paul Mueller, Luca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Massaron -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5) MatplotLib Cook Book 3.0 By Alexandre Devert Packt Publishing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https://github.com/PacktPublishing/Matplotlib-3.0-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Cookbook/tree/master/Chapter08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6) Hands On Machine Learning with Scikit Learn and TensorFlow 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relly Publication Aurelien Geron https://github.com/yanshengjia/ml-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road/blob/master/resources/Hands%20On%20Machine%20Learning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%20with%20Scikit%20Learn%20and%20TensorFlow.pdf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7) Data Science for Business, Tom Fawcett, Foster Provost , O’relly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8) Python Data Science Handbook, Jake VanderPlas, O’relly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9) Core Python Programming, Nageshwar Rao, dreamtech press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10) Flask Web Development Miguel Grinberg, O’relly Publication</w:t>
            </w:r>
          </w:p>
        </w:tc>
      </w:tr>
      <w:tr>
        <w:trPr>
          <w:trHeight w:hRule="exact" w:val="28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is composed of readings, assignments and a class project.</w:t>
            </w:r>
          </w:p>
        </w:tc>
      </w:tr>
      <w:tr>
        <w:trPr>
          <w:trHeight w:hRule="exact" w:val="81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4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54</w:t>
      </w:r>
    </w:p>
    <w:p>
      <w:pPr>
        <w:sectPr>
          <w:pgSz w:w="12240" w:h="15840"/>
          <w:pgMar w:top="25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762" w:val="left"/>
          <w:tab w:pos="9294" w:val="left"/>
        </w:tabs>
        <w:autoSpaceDE w:val="0"/>
        <w:widowControl/>
        <w:spacing w:line="240" w:lineRule="auto" w:before="0" w:after="0"/>
        <w:ind w:left="302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0" w:after="226"/>
        <w:ind w:left="0" w:right="46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205- Practical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5"/>
        <w:gridCol w:w="5205"/>
      </w:tblGrid>
      <w:tr>
        <w:trPr>
          <w:trHeight w:hRule="exact" w:val="2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205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 Hrs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Review / Revision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8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concepts, methods, tools and techniques learnt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courses of semester 1.</w:t>
            </w:r>
          </w:p>
        </w:tc>
      </w:tr>
      <w:tr>
        <w:trPr>
          <w:trHeight w:hRule="exact" w:val="5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objective of these course is to enable students to learn 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implementation of DSC-3, DSC-4, SEC-2 and DSE-2.</w:t>
            </w:r>
          </w:p>
        </w:tc>
      </w:tr>
      <w:tr>
        <w:trPr>
          <w:trHeight w:hRule="exact" w:val="12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Pr-requisite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theory papers of semester -2</w:t>
            </w:r>
          </w:p>
        </w:tc>
      </w:tr>
      <w:tr>
        <w:trPr>
          <w:trHeight w:hRule="exact" w:val="54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performing practical application of subjects given in semester -2.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3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will be required to carry out practical on DSC-3, DSC-4,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SEC-2 and DSE-2 using the methods and tools discussed there in.</w:t>
            </w:r>
          </w:p>
          <w:p>
            <w:pPr>
              <w:autoSpaceDN w:val="0"/>
              <w:autoSpaceDE w:val="0"/>
              <w:widowControl/>
              <w:spacing w:line="306" w:lineRule="exact" w:before="2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Journal must be prepared for the practical work done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paper DSC-3, DSC-4, SEC-2 and DSE-2.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 Work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Practical attendance,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Solving,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practical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453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55</w:t>
      </w:r>
    </w:p>
    <w:p>
      <w:pPr>
        <w:sectPr>
          <w:pgSz w:w="12240" w:h="15840"/>
          <w:pgMar w:top="258" w:right="520" w:bottom="478" w:left="1310" w:header="720" w:footer="720" w:gutter="0"/>
          <w:cols w:space="720" w:num="1" w:equalWidth="0">
            <w:col w:w="10410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52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5314"/>
        <w:gridCol w:w="5314"/>
      </w:tblGrid>
      <w:tr>
        <w:trPr>
          <w:trHeight w:hRule="exact" w:val="974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>
        <w:trPr>
          <w:trHeight w:hRule="exact" w:val="424"/>
        </w:trPr>
        <w:tc>
          <w:tcPr>
            <w:tcW w:type="dxa" w:w="10562"/>
            <w:gridSpan w:val="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8" w:after="0"/>
              <w:ind w:left="0" w:right="466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3</w:t>
            </w:r>
          </w:p>
        </w:tc>
      </w:tr>
      <w:tr>
        <w:trPr>
          <w:trHeight w:hRule="exact" w:val="796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le</w:t>
            </w:r>
          </w:p>
        </w:tc>
        <w:tc>
          <w:tcPr>
            <w:tcW w:type="dxa" w:w="18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34" w:lineRule="exact" w:before="98" w:after="0"/>
              <w:ind w:left="7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per week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438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Credits</w:t>
            </w:r>
          </w:p>
        </w:tc>
        <w:tc>
          <w:tcPr>
            <w:tcW w:type="dxa" w:w="196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6" w:after="0"/>
              <w:ind w:left="288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Examination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</w:tr>
      <w:tr>
        <w:trPr>
          <w:trHeight w:hRule="exact" w:val="286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Marks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C-5 : Internet of Things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50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C-6 : Game Development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SEC-3 Elective-1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E-3 Elective-2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1090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NOTE: </w:t>
            </w:r>
          </w:p>
        </w:tc>
        <w:tc>
          <w:tcPr>
            <w:tcW w:type="dxa" w:w="898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Following</w:t>
            </w:r>
          </w:p>
        </w:tc>
        <w:tc>
          <w:tcPr>
            <w:tcW w:type="dxa" w:w="10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subjects a</w:t>
            </w:r>
          </w:p>
        </w:tc>
        <w:tc>
          <w:tcPr>
            <w:tcW w:type="dxa" w:w="90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5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 listed </w:t>
            </w:r>
          </w:p>
        </w:tc>
        <w:tc>
          <w:tcPr>
            <w:tcW w:type="dxa" w:w="85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as electi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ELECT</w:t>
            </w:r>
          </w:p>
        </w:tc>
        <w:tc>
          <w:tcPr>
            <w:tcW w:type="dxa" w:w="99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ve subject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IVE SUB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" w:val="left"/>
              </w:tabs>
              <w:autoSpaceDE w:val="0"/>
              <w:widowControl/>
              <w:spacing w:line="54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 of sem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JECTS</w:t>
            </w:r>
          </w:p>
        </w:tc>
        <w:tc>
          <w:tcPr>
            <w:tcW w:type="dxa" w:w="11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3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ester.</w:t>
            </w:r>
          </w:p>
        </w:tc>
        <w:tc>
          <w:tcPr>
            <w:tcW w:type="dxa" w:w="73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top w:sz="3.8399999141693115" w:val="single" w:color="#000000"/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90"/>
        </w:trPr>
        <w:tc>
          <w:tcPr>
            <w:tcW w:type="dxa" w:w="112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SEC- 3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Ad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Dat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Blo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Co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 Soc</w:t>
            </w:r>
          </w:p>
        </w:tc>
        <w:tc>
          <w:tcPr>
            <w:tcW w:type="dxa" w:w="85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" w:val="left"/>
                <w:tab w:pos="78" w:val="left"/>
              </w:tabs>
              <w:autoSpaceDE w:val="0"/>
              <w:widowControl/>
              <w:spacing w:line="276" w:lineRule="exact" w:before="4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vanced J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 Visual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ckchain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mputatio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ial Medi</w:t>
            </w:r>
          </w:p>
        </w:tc>
        <w:tc>
          <w:tcPr>
            <w:tcW w:type="dxa" w:w="99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" w:val="left"/>
                <w:tab w:pos="42" w:val="left"/>
              </w:tabs>
              <w:autoSpaceDE w:val="0"/>
              <w:widowControl/>
              <w:spacing w:line="276" w:lineRule="exact" w:before="4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avaScript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nal Lingui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 Mining a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ramewo</w:t>
            </w:r>
          </w:p>
          <w:p>
            <w:pPr>
              <w:autoSpaceDN w:val="0"/>
              <w:tabs>
                <w:tab w:pos="52" w:val="left"/>
                <w:tab w:pos="78" w:val="left"/>
              </w:tabs>
              <w:autoSpaceDE w:val="0"/>
              <w:widowControl/>
              <w:spacing w:line="276" w:lineRule="exact" w:before="25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Anal</w:t>
            </w:r>
          </w:p>
        </w:tc>
        <w:tc>
          <w:tcPr>
            <w:tcW w:type="dxa" w:w="11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rk</w:t>
            </w:r>
          </w:p>
          <w:p>
            <w:pPr>
              <w:autoSpaceDN w:val="0"/>
              <w:autoSpaceDE w:val="0"/>
              <w:widowControl/>
              <w:spacing w:line="322" w:lineRule="exact" w:before="76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ytics</w:t>
            </w:r>
          </w:p>
        </w:tc>
        <w:tc>
          <w:tcPr>
            <w:tcW w:type="dxa" w:w="730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6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18"/>
        </w:trPr>
        <w:tc>
          <w:tcPr>
            <w:tcW w:type="dxa" w:w="1124"/>
            <w:tcBorders>
              <w:start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 - 3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Mo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Big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Cy</w:t>
            </w:r>
          </w:p>
        </w:tc>
        <w:tc>
          <w:tcPr>
            <w:tcW w:type="dxa" w:w="85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" w:val="left"/>
                <w:tab w:pos="58" w:val="left"/>
                <w:tab w:pos="70" w:val="left"/>
              </w:tabs>
              <w:autoSpaceDE w:val="0"/>
              <w:widowControl/>
              <w:spacing w:line="276" w:lineRule="exact" w:before="4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bile App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data &amp;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ificial 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ber Law </w:t>
            </w:r>
          </w:p>
        </w:tc>
        <w:tc>
          <w:tcPr>
            <w:tcW w:type="dxa" w:w="99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" w:val="left"/>
                <w:tab w:pos="86" w:val="left"/>
                <w:tab w:pos="94" w:val="left"/>
              </w:tabs>
              <w:autoSpaceDE w:val="0"/>
              <w:widowControl/>
              <w:spacing w:line="276" w:lineRule="exact" w:before="4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lication 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ural Netw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Practic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" w:val="left"/>
                <w:tab w:pos="86" w:val="left"/>
              </w:tabs>
              <w:autoSpaceDE w:val="0"/>
              <w:widowControl/>
              <w:spacing w:line="38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evelopme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ork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es</w:t>
            </w:r>
          </w:p>
        </w:tc>
        <w:tc>
          <w:tcPr>
            <w:tcW w:type="dxa" w:w="1134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" w:val="left"/>
              </w:tabs>
              <w:autoSpaceDE w:val="0"/>
              <w:widowControl/>
              <w:spacing w:line="43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nt - 2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Deep Learni</w:t>
            </w:r>
          </w:p>
        </w:tc>
        <w:tc>
          <w:tcPr>
            <w:tcW w:type="dxa" w:w="730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</w:t>
            </w:r>
          </w:p>
        </w:tc>
        <w:tc>
          <w:tcPr>
            <w:tcW w:type="dxa" w:w="96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8"/>
        </w:trPr>
        <w:tc>
          <w:tcPr>
            <w:tcW w:type="dxa" w:w="10562"/>
            <w:gridSpan w:val="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6" w:after="0"/>
              <w:ind w:left="0" w:right="466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4</w:t>
            </w:r>
          </w:p>
        </w:tc>
      </w:tr>
      <w:tr>
        <w:trPr>
          <w:trHeight w:hRule="exact" w:val="660"/>
        </w:trPr>
        <w:tc>
          <w:tcPr>
            <w:tcW w:type="dxa" w:w="11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2862"/>
            <w:gridSpan w:val="3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le</w:t>
            </w:r>
          </w:p>
        </w:tc>
        <w:tc>
          <w:tcPr>
            <w:tcW w:type="dxa" w:w="18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0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Hrs.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per 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440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redits</w:t>
            </w:r>
          </w:p>
        </w:tc>
        <w:tc>
          <w:tcPr>
            <w:tcW w:type="dxa" w:w="196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288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Examination</w:t>
            </w:r>
          </w:p>
        </w:tc>
        <w:tc>
          <w:tcPr>
            <w:tcW w:type="dxa" w:w="9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9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</w:tr>
      <w:tr>
        <w:trPr>
          <w:trHeight w:hRule="exact" w:val="272"/>
        </w:trPr>
        <w:tc>
          <w:tcPr>
            <w:tcW w:type="dxa" w:w="88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8"/>
            <w:gridSpan w:val="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8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88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8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550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401</w:t>
            </w:r>
          </w:p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C-7: Project / Dissertation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350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500</w:t>
            </w:r>
          </w:p>
        </w:tc>
      </w:tr>
      <w:tr>
        <w:trPr>
          <w:trHeight w:hRule="exact" w:val="80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402</w:t>
            </w:r>
          </w:p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E-4 Seminar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Presentation/Review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lished research paper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4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Total=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</w:tbl>
    <w:p>
      <w:pPr>
        <w:autoSpaceDN w:val="0"/>
        <w:tabs>
          <w:tab w:pos="10388" w:val="left"/>
        </w:tabs>
        <w:autoSpaceDE w:val="0"/>
        <w:widowControl/>
        <w:spacing w:line="240" w:lineRule="auto" w:before="1368" w:after="0"/>
        <w:ind w:left="33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94180" cy="84708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8470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56</w:t>
      </w:r>
    </w:p>
    <w:sectPr w:rsidR="00FC693F" w:rsidRPr="0006063C" w:rsidSect="00034616">
      <w:pgSz w:w="12240" w:h="15840"/>
      <w:pgMar w:top="258" w:right="520" w:bottom="216" w:left="1092" w:header="720" w:footer="720" w:gutter="0"/>
      <w:cols w:space="720" w:num="1" w:equalWidth="0">
        <w:col w:w="10628" w:space="0"/>
        <w:col w:w="10410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528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microservices.io/patterns/decomposition/decompose-by-business-capability.html" TargetMode="External"/><Relationship Id="rId12" Type="http://schemas.openxmlformats.org/officeDocument/2006/relationships/hyperlink" Target="https://microservices.io/patterns/decomposition/service-per-team.html" TargetMode="External"/><Relationship Id="rId13" Type="http://schemas.openxmlformats.org/officeDocument/2006/relationships/hyperlink" Target="https://microservices.io/patterns/decomposition/self-contained-service.html" TargetMode="External"/><Relationship Id="rId14" Type="http://schemas.openxmlformats.org/officeDocument/2006/relationships/hyperlink" Target="https://microservices.io/patterns/data/database-per-service.html" TargetMode="External"/><Relationship Id="rId15" Type="http://schemas.openxmlformats.org/officeDocument/2006/relationships/hyperlink" Target="https://microservices.io/patterns/data/shared-database.html" TargetMode="External"/><Relationship Id="rId16" Type="http://schemas.openxmlformats.org/officeDocument/2006/relationships/hyperlink" Target="https://microservices.io/patterns/data/api-composition.html" TargetMode="External"/><Relationship Id="rId17" Type="http://schemas.openxmlformats.org/officeDocument/2006/relationships/hyperlink" Target="https://microservices.io/patterns/data/event-sourcing.html" TargetMode="External"/><Relationship Id="rId18" Type="http://schemas.openxmlformats.org/officeDocument/2006/relationships/hyperlink" Target="https://microservices.io/patterns/data/transactional-outbox.html" TargetMode="External"/><Relationship Id="rId19" Type="http://schemas.openxmlformats.org/officeDocument/2006/relationships/hyperlink" Target="https://microservices.io/patterns/data/transaction-log-tailing.html" TargetMode="External"/><Relationship Id="rId20" Type="http://schemas.openxmlformats.org/officeDocument/2006/relationships/hyperlink" Target="https://microservices.io/patterns/data/polling-publisher.html" TargetMode="External"/><Relationship Id="rId21" Type="http://schemas.openxmlformats.org/officeDocument/2006/relationships/hyperlink" Target="https://www.researchgate.net/deref/https:/www.cs.rpi.edu/research/pdf/12-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