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28"/>
          <w:szCs w:val="28"/>
        </w:rPr>
        <w:t xml:space="preserve">CHAPTER 2</w:t>
      </w:r>
    </w:p>
    <w:p>
      <w:pPr>
        <w:spacing w:after="400"/>
        <w:jc w:val="center"/>
      </w:pPr>
      <w:r>
        <w:rPr>
          <w:rFonts w:ascii="Arial" w:cs="Arial" w:eastAsia="Arial" w:hAnsi="Arial"/>
          <w:b/>
          <w:bCs/>
          <w:color w:val="1F3864"/>
          <w:sz w:val="32"/>
          <w:szCs w:val="32"/>
        </w:rPr>
        <w:t xml:space="preserve">LITERATURE REVIEW</w:t>
      </w:r>
    </w:p>
    <w:p>
      <w:pPr>
        <w:pStyle w:val="Heading1"/>
      </w:pPr>
      <w:r>
        <w:rPr>
          <w:rFonts w:ascii="Arial" w:cs="Arial" w:eastAsia="Arial" w:hAnsi="Arial"/>
          <w:b/>
          <w:bCs/>
          <w:sz w:val="32"/>
          <w:szCs w:val="32"/>
        </w:rPr>
        <w:t xml:space="preserve">2.1 Introduction</w:t>
      </w:r>
    </w:p>
    <w:p>
      <w:pPr>
        <w:spacing w:after="200" w:line="360"/>
        <w:jc w:val="both"/>
      </w:pPr>
      <w:r>
        <w:rPr>
          <w:rFonts w:ascii="Arial" w:cs="Arial" w:eastAsia="Arial" w:hAnsi="Arial"/>
          <w:sz w:val="24"/>
          <w:szCs w:val="24"/>
        </w:rPr>
        <w:t xml:space="preserve">This chapter presents a comprehensive review of existing literature relevant to the comparative analysis of serverless computing and container-based architectures within Microsoft Azure. The review is organised into six key thematic areas: the evolution of cloud computing service models, the fundamentals of serverless computing, container-based architectures and orchestration, performance and scalability comparisons, cost analysis, and the identification of the research gap that motivates this study. The literature examined in this chapter is drawn exclusively from peer-reviewed academic sources, including publications in IEEE, ACM, and Springer, ensuring academic rigour and credibility.</w:t>
      </w:r>
    </w:p>
    <w:p>
      <w:pPr>
        <w:spacing w:after="200" w:line="360"/>
        <w:jc w:val="both"/>
      </w:pPr>
      <w:r>
        <w:rPr>
          <w:rFonts w:ascii="Arial" w:cs="Arial" w:eastAsia="Arial" w:hAnsi="Arial"/>
          <w:sz w:val="24"/>
          <w:szCs w:val="24"/>
        </w:rPr>
        <w:t xml:space="preserve">The rapid evolution of cloud computing has fundamentally transformed the way organisations design, deploy, and manage software applications. Among the most significant developments in recent years are two paradigms: serverless computing, particularly Function-as-a-Service (FaaS), and container-based architecture managed through orchestration platforms such as Kubernetes. Both paradigms offer distinct approaches to handling scalability, cost management, and operational efficiency, making them central topics of research in the field of cloud computing.</w:t>
      </w:r>
    </w:p>
    <w:p>
      <w:r>
        <w:t xml:space="preserve"/>
      </w:r>
    </w:p>
    <w:p>
      <w:pPr>
        <w:pStyle w:val="Heading1"/>
      </w:pPr>
      <w:r>
        <w:rPr>
          <w:rFonts w:ascii="Arial" w:cs="Arial" w:eastAsia="Arial" w:hAnsi="Arial"/>
          <w:b/>
          <w:bCs/>
          <w:sz w:val="32"/>
          <w:szCs w:val="32"/>
        </w:rPr>
        <w:t xml:space="preserve">2.2 Evolution of Cloud Computing Service Models</w:t>
      </w:r>
    </w:p>
    <w:p>
      <w:pPr>
        <w:spacing w:after="200" w:line="360"/>
        <w:jc w:val="both"/>
      </w:pPr>
      <w:r>
        <w:rPr>
          <w:rFonts w:ascii="Arial" w:cs="Arial" w:eastAsia="Arial" w:hAnsi="Arial"/>
          <w:sz w:val="24"/>
          <w:szCs w:val="24"/>
        </w:rPr>
        <w:t xml:space="preserve">Cloud computing has undergone significant transformation since its inception, evolving from traditional Infrastructure-as-a-Service (IaaS) models to more abstracted paradigms such as Platform-as-a-Service (PaaS) and Software-as-a-Service (SaaS). This progression has been driven by the need for organisations to reduce operational overhead, improve scalability, and optimise resource utilisation (Kounev et al., 2023).</w:t>
      </w:r>
    </w:p>
    <w:p>
      <w:pPr>
        <w:spacing w:after="200" w:line="360"/>
        <w:jc w:val="both"/>
      </w:pPr>
      <w:r>
        <w:rPr>
          <w:rFonts w:ascii="Arial" w:cs="Arial" w:eastAsia="Arial" w:hAnsi="Arial"/>
          <w:sz w:val="24"/>
          <w:szCs w:val="24"/>
        </w:rPr>
        <w:t xml:space="preserve">The emergence of Function-as-a-Service (FaaS), often referred to as serverless computing, represents the latest evolution in this trajectory. As noted by Kounev et al. (2023), serverless computing abstracts infrastructure management entirely, allowing developers to focus solely on application logic. Similarly, containerisation emerged as a lightweight alternative to virtual machines, enabling portability and consistency across deployment environments. These two paradigms now represent the dominant approaches for cloud-native application development and are the central focus of this dissertation.</w:t>
      </w:r>
    </w:p>
    <w:p>
      <w:pPr>
        <w:spacing w:after="200" w:line="360"/>
        <w:jc w:val="both"/>
      </w:pPr>
      <w:r>
        <w:rPr>
          <w:rFonts w:ascii="Arial" w:cs="Arial" w:eastAsia="Arial" w:hAnsi="Arial"/>
          <w:sz w:val="24"/>
          <w:szCs w:val="24"/>
        </w:rPr>
        <w:t xml:space="preserve">Microsoft Azure, as one of the leading cloud providers globally, offers robust implementations of both paradigms: Azure Functions for serverless computing and Azure Kubernetes Service (AKS) for container orchestration. Understanding how these two architectures perform within a single cloud ecosystem is critical for cloud engineers and architects making deployment decisions.</w:t>
      </w:r>
    </w:p>
    <w:p>
      <w:r>
        <w:t xml:space="preserve"/>
      </w:r>
    </w:p>
    <w:p>
      <w:pPr>
        <w:pStyle w:val="Heading1"/>
      </w:pPr>
      <w:r>
        <w:rPr>
          <w:rFonts w:ascii="Arial" w:cs="Arial" w:eastAsia="Arial" w:hAnsi="Arial"/>
          <w:b/>
          <w:bCs/>
          <w:sz w:val="32"/>
          <w:szCs w:val="32"/>
        </w:rPr>
        <w:t xml:space="preserve">2.3 Serverless Computing and Function-as-a-Service</w:t>
      </w:r>
    </w:p>
    <w:p>
      <w:pPr>
        <w:pStyle w:val="Heading2"/>
      </w:pPr>
      <w:r>
        <w:rPr>
          <w:rFonts w:ascii="Arial" w:cs="Arial" w:eastAsia="Arial" w:hAnsi="Arial"/>
          <w:b/>
          <w:bCs/>
          <w:sz w:val="28"/>
          <w:szCs w:val="28"/>
        </w:rPr>
        <w:t xml:space="preserve">2.3.1 Fundamentals of Serverless Computing</w:t>
      </w:r>
    </w:p>
    <w:p>
      <w:pPr>
        <w:spacing w:after="200" w:line="360"/>
        <w:jc w:val="both"/>
      </w:pPr>
      <w:r>
        <w:rPr>
          <w:rFonts w:ascii="Arial" w:cs="Arial" w:eastAsia="Arial" w:hAnsi="Arial"/>
          <w:sz w:val="24"/>
          <w:szCs w:val="24"/>
        </w:rPr>
        <w:t xml:space="preserve">Serverless computing, and specifically the FaaS model, has emerged as a transformative paradigm in cloud computing. In a serverless model, cloud customers develop stateless functions and upload them to a provider; the provider then manages all aspects of infrastructure allocation, scaling, and execution in response to triggering events (Shahrad et al., 2020). This event-driven architecture enables a pay-per-use billing model where resources are consumed only during function execution, offering potential cost advantages for workloads with unpredictable or sporadic traffic patterns.</w:t>
      </w:r>
    </w:p>
    <w:p>
      <w:pPr>
        <w:spacing w:after="200" w:line="360"/>
        <w:jc w:val="both"/>
      </w:pPr>
      <w:r>
        <w:rPr>
          <w:rFonts w:ascii="Arial" w:cs="Arial" w:eastAsia="Arial" w:hAnsi="Arial"/>
          <w:sz w:val="24"/>
          <w:szCs w:val="24"/>
        </w:rPr>
        <w:t xml:space="preserve">Mampage, Karunasekera, and Buyya (2022) provide a holistic taxonomy of resource management in serverless computing environments, identifying key dimensions including scheduling, auto-scaling, and resource allocation. Their work, published in ACM Computing Surveys, establishes that serverless platforms dynamically provision and de-provision resources at millisecond granularity, which distinguishes them fundamentally from container-based approaches where resources are allocated for the duration of a container's lifecycle.</w:t>
      </w:r>
    </w:p>
    <w:p>
      <w:pPr>
        <w:pStyle w:val="Heading2"/>
      </w:pPr>
      <w:r>
        <w:rPr>
          <w:rFonts w:ascii="Arial" w:cs="Arial" w:eastAsia="Arial" w:hAnsi="Arial"/>
          <w:b/>
          <w:bCs/>
          <w:sz w:val="28"/>
          <w:szCs w:val="28"/>
        </w:rPr>
        <w:t xml:space="preserve">2.3.2 Azure Functions: A Production Perspective</w:t>
      </w:r>
    </w:p>
    <w:p>
      <w:pPr>
        <w:spacing w:after="200" w:line="360"/>
        <w:jc w:val="both"/>
      </w:pPr>
      <w:r>
        <w:rPr>
          <w:rFonts w:ascii="Arial" w:cs="Arial" w:eastAsia="Arial" w:hAnsi="Arial"/>
          <w:sz w:val="24"/>
          <w:szCs w:val="24"/>
        </w:rPr>
        <w:t xml:space="preserve">One of the most significant empirical studies of serverless in production was conducted by Shahrad et al. (2020) from Microsoft Azure and Microsoft Research. Their paper, Serverless in the Wild, provides a detailed characterisation of the entire production FaaS workload of Azure Functions, including real function invocation patterns, trigger types, and resource requirements. This study is particularly relevant to the current dissertation as it provides authentic data about Azure Functions behaviour at scale, forming a strong empirical basis for the performance and scalability analysis presented in Chapter 4.</w:t>
      </w:r>
    </w:p>
    <w:p>
      <w:pPr>
        <w:spacing w:after="200" w:line="360"/>
        <w:jc w:val="both"/>
      </w:pPr>
      <w:r>
        <w:rPr>
          <w:rFonts w:ascii="Arial" w:cs="Arial" w:eastAsia="Arial" w:hAnsi="Arial"/>
          <w:sz w:val="24"/>
          <w:szCs w:val="24"/>
        </w:rPr>
        <w:t xml:space="preserve">Shahrad et al. (2020) found that the majority of Azure Functions are invoked infrequently, with highly variable inter-arrival times. This observation has direct implications for the cold start problem, which is the primary performance challenge associated with serverless architectures. The study further informed the development of resource management policies aimed at reducing cold start latency while minimising resource wastage.</w:t>
      </w:r>
    </w:p>
    <w:p>
      <w:pPr>
        <w:pStyle w:val="Heading2"/>
      </w:pPr>
      <w:r>
        <w:rPr>
          <w:rFonts w:ascii="Arial" w:cs="Arial" w:eastAsia="Arial" w:hAnsi="Arial"/>
          <w:b/>
          <w:bCs/>
          <w:sz w:val="28"/>
          <w:szCs w:val="28"/>
        </w:rPr>
        <w:t xml:space="preserve">2.3.3 The Cold Start Problem</w:t>
      </w:r>
    </w:p>
    <w:p>
      <w:pPr>
        <w:spacing w:after="200" w:line="360"/>
        <w:jc w:val="both"/>
      </w:pPr>
      <w:r>
        <w:rPr>
          <w:rFonts w:ascii="Arial" w:cs="Arial" w:eastAsia="Arial" w:hAnsi="Arial"/>
          <w:sz w:val="24"/>
          <w:szCs w:val="24"/>
        </w:rPr>
        <w:t xml:space="preserve">The cold start problem is widely recognised in the literature as the most significant performance limitation of serverless architectures. Golec et al. (2024), in a systematic review published in ACM Computing Surveys, define cold start latency as the time delay between a consumer's request submission and the receipt of a response from a serverless function that has not been previously initialised. This delay occurs because the platform must provision a new container instance, load the function runtime, and initialise the execution environment before processing the request.</w:t>
      </w:r>
    </w:p>
    <w:p>
      <w:pPr>
        <w:spacing w:after="200" w:line="360"/>
        <w:jc w:val="both"/>
      </w:pPr>
      <w:r>
        <w:rPr>
          <w:rFonts w:ascii="Arial" w:cs="Arial" w:eastAsia="Arial" w:hAnsi="Arial"/>
          <w:sz w:val="24"/>
          <w:szCs w:val="24"/>
        </w:rPr>
        <w:t xml:space="preserve">Golec et al. (2024) conducted a comprehensive taxonomy of cold start mitigation strategies, classifying existing approaches into categories including caching mechanisms, application-level optimisation, and Artificial Intelligence and Machine Learning-based solutions. Their review highlights that despite significant research effort, the cold start problem remains an open challenge in serverless computing, particularly for latency-sensitive applications. This finding is directly relevant to the performance comparison parameter examined in this dissertation.</w:t>
      </w:r>
    </w:p>
    <w:p>
      <w:r>
        <w:t xml:space="preserve"/>
      </w:r>
    </w:p>
    <w:p>
      <w:pPr>
        <w:pStyle w:val="Heading1"/>
      </w:pPr>
      <w:r>
        <w:rPr>
          <w:rFonts w:ascii="Arial" w:cs="Arial" w:eastAsia="Arial" w:hAnsi="Arial"/>
          <w:b/>
          <w:bCs/>
          <w:sz w:val="32"/>
          <w:szCs w:val="32"/>
        </w:rPr>
        <w:t xml:space="preserve">2.4 Container-Based Architectures and Kubernetes Orchestration</w:t>
      </w:r>
    </w:p>
    <w:p>
      <w:pPr>
        <w:pStyle w:val="Heading2"/>
      </w:pPr>
      <w:r>
        <w:rPr>
          <w:rFonts w:ascii="Arial" w:cs="Arial" w:eastAsia="Arial" w:hAnsi="Arial"/>
          <w:b/>
          <w:bCs/>
          <w:sz w:val="28"/>
          <w:szCs w:val="28"/>
        </w:rPr>
        <w:t xml:space="preserve">2.4.1 Fundamentals of Containerisation</w:t>
      </w:r>
    </w:p>
    <w:p>
      <w:pPr>
        <w:spacing w:after="200" w:line="360"/>
        <w:jc w:val="both"/>
      </w:pPr>
      <w:r>
        <w:rPr>
          <w:rFonts w:ascii="Arial" w:cs="Arial" w:eastAsia="Arial" w:hAnsi="Arial"/>
          <w:sz w:val="24"/>
          <w:szCs w:val="24"/>
        </w:rPr>
        <w:t xml:space="preserve">Container-based architectures package applications and their dependencies into lightweight, portable units known as containers. Unlike virtual machines, containers share the host operating system kernel, resulting in lower resource overhead and faster startup times compared to VM-based deployments (McGrath and Brenner, 2017). The adoption of containerisation has been accelerated by the widespread use of Docker as the de facto container runtime and Kubernetes as the leading container orchestration platform.</w:t>
      </w:r>
    </w:p>
    <w:p>
      <w:pPr>
        <w:spacing w:after="200" w:line="360"/>
        <w:jc w:val="both"/>
      </w:pPr>
      <w:r>
        <w:rPr>
          <w:rFonts w:ascii="Arial" w:cs="Arial" w:eastAsia="Arial" w:hAnsi="Arial"/>
          <w:sz w:val="24"/>
          <w:szCs w:val="24"/>
        </w:rPr>
        <w:t xml:space="preserve">McGrath and Brenner (2017), in a seminal IEEE paper on serverless computing design and performance, implemented and evaluated a performance-oriented serverless computing platform deployed in Microsoft Azure using Windows containers as function execution environments. This early work established foundational benchmarks for comparing container-based function execution against serverless platforms, providing a historical baseline for subsequent research.</w:t>
      </w:r>
    </w:p>
    <w:p>
      <w:pPr>
        <w:pStyle w:val="Heading2"/>
      </w:pPr>
      <w:r>
        <w:rPr>
          <w:rFonts w:ascii="Arial" w:cs="Arial" w:eastAsia="Arial" w:hAnsi="Arial"/>
          <w:b/>
          <w:bCs/>
          <w:sz w:val="28"/>
          <w:szCs w:val="28"/>
        </w:rPr>
        <w:t xml:space="preserve">2.4.2 Azure Kubernetes Service (AKS)</w:t>
      </w:r>
    </w:p>
    <w:p>
      <w:pPr>
        <w:spacing w:after="200" w:line="360"/>
        <w:jc w:val="both"/>
      </w:pPr>
      <w:r>
        <w:rPr>
          <w:rFonts w:ascii="Arial" w:cs="Arial" w:eastAsia="Arial" w:hAnsi="Arial"/>
          <w:sz w:val="24"/>
          <w:szCs w:val="24"/>
        </w:rPr>
        <w:t xml:space="preserve">Azure Kubernetes Service (AKS) is Microsoft Azure's managed Kubernetes offering, providing full Kubernetes orchestration for containerised applications while abstracting the complexity of cluster management. AKS supports a range of scaling strategies including the Horizontal Pod Autoscaler (HPA), which adjusts the number of pods based on CPU utilisation or custom metrics, and the Cluster Autoscaler, which adjusts the number of nodes based on resource demand (Microsoft Azure Documentation, 2024).</w:t>
      </w:r>
    </w:p>
    <w:p>
      <w:pPr>
        <w:spacing w:after="200" w:line="360"/>
        <w:jc w:val="both"/>
      </w:pPr>
      <w:r>
        <w:rPr>
          <w:rFonts w:ascii="Arial" w:cs="Arial" w:eastAsia="Arial" w:hAnsi="Arial"/>
          <w:sz w:val="24"/>
          <w:szCs w:val="24"/>
        </w:rPr>
        <w:t xml:space="preserve">The scalability model of AKS differs fundamentally from that of Azure Functions. While Azure Functions scale instantaneously at the function invocation level with no minimum resource requirement, AKS requires pre-provisioned node pools and incurs a baseline cost even when workloads are idle. This distinction is a critical factor in the cost and scalability comparison examined in this dissertation.</w:t>
      </w:r>
    </w:p>
    <w:p>
      <w:pPr>
        <w:pStyle w:val="Heading2"/>
      </w:pPr>
      <w:r>
        <w:rPr>
          <w:rFonts w:ascii="Arial" w:cs="Arial" w:eastAsia="Arial" w:hAnsi="Arial"/>
          <w:b/>
          <w:bCs/>
          <w:sz w:val="28"/>
          <w:szCs w:val="28"/>
        </w:rPr>
        <w:t xml:space="preserve">2.4.3 Reliability and Operational Challenges in Kubernetes</w:t>
      </w:r>
    </w:p>
    <w:p>
      <w:pPr>
        <w:spacing w:after="200" w:line="360"/>
        <w:jc w:val="both"/>
      </w:pPr>
      <w:r>
        <w:rPr>
          <w:rFonts w:ascii="Arial" w:cs="Arial" w:eastAsia="Arial" w:hAnsi="Arial"/>
          <w:sz w:val="24"/>
          <w:szCs w:val="24"/>
        </w:rPr>
        <w:t xml:space="preserve">Research on Kubernetes reliability indicates that while the platform provides robust mechanisms for fault tolerance, including pod restarts, health probes, and multi-zone deployments, operational complexity remains a significant challenge. The 2024 Kubernetes Benchmark Report by Fairwinds, based on data from over 330,000 workloads across hundreds of organisations, identified that a substantial proportion of production Kubernetes deployments lack proper liveness probes and replica configurations, increasing the risk of reliability failures. These findings underline the operational burden associated with container-based architectures compared to the fully managed nature of serverless platforms.</w:t>
      </w:r>
    </w:p>
    <w:p>
      <w:r>
        <w:t xml:space="preserve"/>
      </w:r>
    </w:p>
    <w:p>
      <w:pPr>
        <w:pStyle w:val="Heading1"/>
      </w:pPr>
      <w:r>
        <w:rPr>
          <w:rFonts w:ascii="Arial" w:cs="Arial" w:eastAsia="Arial" w:hAnsi="Arial"/>
          <w:b/>
          <w:bCs/>
          <w:sz w:val="32"/>
          <w:szCs w:val="32"/>
        </w:rPr>
        <w:t xml:space="preserve">2.5 Performance and Scalability: Comparative Studies</w:t>
      </w:r>
    </w:p>
    <w:p>
      <w:pPr>
        <w:spacing w:after="200" w:line="360"/>
        <w:jc w:val="both"/>
      </w:pPr>
      <w:r>
        <w:rPr>
          <w:rFonts w:ascii="Arial" w:cs="Arial" w:eastAsia="Arial" w:hAnsi="Arial"/>
          <w:sz w:val="24"/>
          <w:szCs w:val="24"/>
        </w:rPr>
        <w:t xml:space="preserve">A growing body of research has examined the performance and scalability characteristics of serverless and container-based architectures, though the majority of these studies adopt a cross-platform comparative approach rather than focusing on a single cloud provider's ecosystem.</w:t>
      </w:r>
    </w:p>
    <w:p>
      <w:pPr>
        <w:spacing w:after="200" w:line="360"/>
        <w:jc w:val="both"/>
      </w:pPr>
      <w:r>
        <w:rPr>
          <w:rFonts w:ascii="Arial" w:cs="Arial" w:eastAsia="Arial" w:hAnsi="Arial"/>
          <w:sz w:val="24"/>
          <w:szCs w:val="24"/>
        </w:rPr>
        <w:t xml:space="preserve">Thota (2024) and colleagues, in a comparative analysis published on ResearchGate, examined serverless computing and containerisation across multiple cloud providers, focusing on key performance indicators including scalability, latency, security, flexibility, and deployment complexity. Their findings indicate that serverless architectures offer superior scalability for event-driven workloads with unpredictable traffic, while container-based architectures provide more consistent performance for steady-state workloads. However, this study does not isolate variables to a single cloud platform, which introduces confounding factors related to differences in underlying infrastructure, networking, and pricing models across providers.</w:t>
      </w:r>
    </w:p>
    <w:p>
      <w:pPr>
        <w:spacing w:after="200" w:line="360"/>
        <w:jc w:val="both"/>
      </w:pPr>
      <w:r>
        <w:rPr>
          <w:rFonts w:ascii="Arial" w:cs="Arial" w:eastAsia="Arial" w:hAnsi="Arial"/>
          <w:sz w:val="24"/>
          <w:szCs w:val="24"/>
        </w:rPr>
        <w:t xml:space="preserve">Similarly, a comparative study presented at the 2023 ACM International Conference on Advances in Computing Research examined serverless and server-based services specifically within Google Cloud Platform, measuring latency, throughput, and CPU utilisation. While this study provides a useful single-platform methodology, it focuses exclusively on Google Cloud and does not address the Azure ecosystem, leaving a gap in the literature that the present dissertation seeks to address.</w:t>
      </w:r>
    </w:p>
    <w:p>
      <w:pPr>
        <w:spacing w:after="200" w:line="360"/>
        <w:jc w:val="both"/>
      </w:pPr>
      <w:r>
        <w:rPr>
          <w:rFonts w:ascii="Arial" w:cs="Arial" w:eastAsia="Arial" w:hAnsi="Arial"/>
          <w:sz w:val="24"/>
          <w:szCs w:val="24"/>
        </w:rPr>
        <w:t xml:space="preserve">Golec et al. (2024) further note in their systematic review that the relationship between cold start latency and Quality of Service (QoS) is a critical area of concern, as cold starts can lead to unpredictable response times that violate Service Level Agreements (SLAs). This is particularly relevant for enterprise environments where performance consistency is a non-negotiable requirement.</w:t>
      </w:r>
    </w:p>
    <w:p>
      <w:r>
        <w:t xml:space="preserve"/>
      </w:r>
    </w:p>
    <w:p>
      <w:pPr>
        <w:pStyle w:val="Heading1"/>
      </w:pPr>
      <w:r>
        <w:rPr>
          <w:rFonts w:ascii="Arial" w:cs="Arial" w:eastAsia="Arial" w:hAnsi="Arial"/>
          <w:b/>
          <w:bCs/>
          <w:sz w:val="32"/>
          <w:szCs w:val="32"/>
        </w:rPr>
        <w:t xml:space="preserve">2.6 Cost Analysis of Serverless and Container Architectures</w:t>
      </w:r>
    </w:p>
    <w:p>
      <w:pPr>
        <w:spacing w:after="200" w:line="360"/>
        <w:jc w:val="both"/>
      </w:pPr>
      <w:r>
        <w:rPr>
          <w:rFonts w:ascii="Arial" w:cs="Arial" w:eastAsia="Arial" w:hAnsi="Arial"/>
          <w:sz w:val="24"/>
          <w:szCs w:val="24"/>
        </w:rPr>
        <w:t xml:space="preserve">The cost dynamics of serverless computing have been the subject of several empirical studies. Hamza, Akbar, and Capilla (2024), in an empirical study published in Springer's Lecture Notes in Business Information Processing, investigated the cost dynamics of serverless computing across various workload patterns. Their findings reveal that serverless computing offers significant cost advantages for low-frequency, event-driven workloads due to its pay-per-execution billing model, but can become significantly more expensive than container-based alternatives under high-frequency or sustained workloads.</w:t>
      </w:r>
    </w:p>
    <w:p>
      <w:pPr>
        <w:spacing w:after="200" w:line="360"/>
        <w:jc w:val="both"/>
      </w:pPr>
      <w:r>
        <w:rPr>
          <w:rFonts w:ascii="Arial" w:cs="Arial" w:eastAsia="Arial" w:hAnsi="Arial"/>
          <w:sz w:val="24"/>
          <w:szCs w:val="24"/>
        </w:rPr>
        <w:t xml:space="preserve">This cost-workload relationship is further supported by the broader literature. Liu and Niu (2023), in a study published in IEEE Transactions on Parallel and Distributed Systems, demonstrated that the cost efficiency of serverless computing is highly dependent on workload characteristics, with containers offering superior cost efficiency when duty cycles exceed a certain threshold. These findings establish the theoretical framework for the cost comparison parameter examined in Chapter 4 of this dissertation.</w:t>
      </w:r>
    </w:p>
    <w:p>
      <w:pPr>
        <w:spacing w:after="200" w:line="360"/>
        <w:jc w:val="both"/>
      </w:pPr>
      <w:r>
        <w:rPr>
          <w:rFonts w:ascii="Arial" w:cs="Arial" w:eastAsia="Arial" w:hAnsi="Arial"/>
          <w:sz w:val="24"/>
          <w:szCs w:val="24"/>
        </w:rPr>
        <w:t xml:space="preserve">Within the Azure ecosystem specifically, Microsoft's pricing model for Azure Functions under the Consumption Plan charges per execution and per GB-second of memory consumed, with a generous free tier of one million executions per month. AKS, by contrast, charges for the underlying virtual machine node pools continuously, regardless of whether workloads are actively running. This structural difference in billing models has direct implications for cost optimisation strategies in cloud support and operations roles.</w:t>
      </w:r>
    </w:p>
    <w:p>
      <w:r>
        <w:t xml:space="preserve"/>
      </w:r>
    </w:p>
    <w:p>
      <w:pPr>
        <w:pStyle w:val="Heading1"/>
      </w:pPr>
      <w:r>
        <w:rPr>
          <w:rFonts w:ascii="Arial" w:cs="Arial" w:eastAsia="Arial" w:hAnsi="Arial"/>
          <w:b/>
          <w:bCs/>
          <w:sz w:val="32"/>
          <w:szCs w:val="32"/>
        </w:rPr>
        <w:t xml:space="preserve">2.7 Research Gap</w:t>
      </w:r>
    </w:p>
    <w:p>
      <w:pPr>
        <w:spacing w:after="200" w:line="360"/>
        <w:jc w:val="both"/>
      </w:pPr>
      <w:r>
        <w:rPr>
          <w:rFonts w:ascii="Arial" w:cs="Arial" w:eastAsia="Arial" w:hAnsi="Arial"/>
          <w:sz w:val="24"/>
          <w:szCs w:val="24"/>
        </w:rPr>
        <w:t xml:space="preserve">The review of existing literature reveals a consistent pattern: the majority of comparative studies examining serverless and container-based architectures do so across multiple cloud platforms simultaneously, comparing, for example, AWS Lambda against Google Cloud Run, or Azure Functions against AWS Fargate. While such cross-platform studies provide valuable high-level insights, they introduce a fundamental methodological limitation: when comparing services across different cloud providers, variables beyond the architectural paradigm itself are introduced, including differences in underlying hardware infrastructure, network topology, pricing models, and regional availability. This makes it difficult to attribute observed differences in cost, performance, scalability, or reliability to the architectural choice alone.</w:t>
      </w:r>
    </w:p>
    <w:p>
      <w:pPr>
        <w:spacing w:after="200" w:line="360"/>
        <w:jc w:val="both"/>
      </w:pPr>
      <w:r>
        <w:rPr>
          <w:rFonts w:ascii="Arial" w:cs="Arial" w:eastAsia="Arial" w:hAnsi="Arial"/>
          <w:sz w:val="24"/>
          <w:szCs w:val="24"/>
        </w:rPr>
        <w:t xml:space="preserve">Furthermore, the single-platform comparative study that does exist in the literature, such as the Google Cloud study by ACM (2023), focuses exclusively on Google Cloud Platform and does not extend its methodology to Microsoft Azure. To the best of the author's knowledge, no study has conducted a controlled, systematic comparison of serverless (Azure Functions) and container-based (AKS) architectures strictly within the Microsoft Azure ecosystem, holding all other variables constant.</w:t>
      </w:r>
    </w:p>
    <w:p>
      <w:pPr>
        <w:spacing w:after="200" w:line="360"/>
        <w:jc w:val="both"/>
      </w:pPr>
      <w:r>
        <w:rPr>
          <w:rFonts w:ascii="Arial" w:cs="Arial" w:eastAsia="Arial" w:hAnsi="Arial"/>
          <w:sz w:val="24"/>
          <w:szCs w:val="24"/>
        </w:rPr>
        <w:t xml:space="preserve">This dissertation addresses that gap directly. By confining the comparative analysis to a single cloud platform, Microsoft Azure, this study eliminates cross-platform variability and provides a more controlled, rigorous basis for evaluating the four key parameters: cost, performance, scalability, and reliability. This approach not only contributes original knowledge to the academic literature but also provides practical guidance for cloud engineers and architects who operate within Azure-centric enterprise environments.</w:t>
      </w:r>
    </w:p>
    <w:p>
      <w:r>
        <w:t xml:space="preserve"/>
      </w:r>
    </w:p>
    <w:p>
      <w:pPr>
        <w:pStyle w:val="Heading1"/>
      </w:pPr>
      <w:r>
        <w:rPr>
          <w:rFonts w:ascii="Arial" w:cs="Arial" w:eastAsia="Arial" w:hAnsi="Arial"/>
          <w:b/>
          <w:bCs/>
          <w:sz w:val="32"/>
          <w:szCs w:val="32"/>
        </w:rPr>
        <w:t xml:space="preserve">2.8 Summary</w:t>
      </w:r>
    </w:p>
    <w:p>
      <w:pPr>
        <w:spacing w:after="200" w:line="360"/>
        <w:jc w:val="both"/>
      </w:pPr>
      <w:r>
        <w:rPr>
          <w:rFonts w:ascii="Arial" w:cs="Arial" w:eastAsia="Arial" w:hAnsi="Arial"/>
          <w:sz w:val="24"/>
          <w:szCs w:val="24"/>
        </w:rPr>
        <w:t xml:space="preserve">This chapter has reviewed the key literature underpinning this dissertation. The review established that cloud computing has evolved significantly, with serverless computing and container-based architectures representing the two dominant paradigms for cloud-native application deployment. Key works by Shahrad et al. (2020), Golec et al. (2024), Mampage et al. (2022), McGrath and Brenner (2017), and Hamza et al. (2024) have provided foundational insights into the performance, scalability, reliability, and cost characteristics of both paradigms. However, the existing literature predominantly adopts a cross-platform comparative approach, which introduces methodological limitations.</w:t>
      </w:r>
    </w:p>
    <w:p>
      <w:pPr>
        <w:spacing w:after="200" w:line="360"/>
        <w:jc w:val="both"/>
      </w:pPr>
      <w:r>
        <w:rPr>
          <w:rFonts w:ascii="Arial" w:cs="Arial" w:eastAsia="Arial" w:hAnsi="Arial"/>
          <w:sz w:val="24"/>
          <w:szCs w:val="24"/>
        </w:rPr>
        <w:t xml:space="preserve">The research gap identified in this chapter, specifically the absence of a controlled, within-Azure comparative study, provides the motivation and justification for this dissertation. Chapter 3 will outline the research methodology adopted to address this gap through a systematic secondary data analysis of Azure Functions and AKS across the four identified parameters.</w:t>
      </w:r>
    </w:p>
    <w:p>
      <w:r>
        <w:t xml:space="preserve"/>
      </w:r>
    </w:p>
    <w:p>
      <w:pPr>
        <w:pStyle w:val="Heading1"/>
      </w:pPr>
      <w:r>
        <w:rPr>
          <w:rFonts w:ascii="Arial" w:cs="Arial" w:eastAsia="Arial" w:hAnsi="Arial"/>
          <w:b/>
          <w:bCs/>
          <w:sz w:val="32"/>
          <w:szCs w:val="32"/>
        </w:rPr>
        <w:t xml:space="preserve">References</w:t>
      </w:r>
    </w:p>
    <w:p>
      <w:pPr>
        <w:pStyle w:val="ListParagraph"/>
        <w:numPr>
          <w:ilvl w:val="0"/>
          <w:numId w:val="2"/>
        </w:numPr>
        <w:spacing w:after="120"/>
      </w:pPr>
      <w:r>
        <w:rPr>
          <w:rFonts w:ascii="Arial" w:cs="Arial" w:eastAsia="Arial" w:hAnsi="Arial"/>
          <w:sz w:val="22"/>
          <w:szCs w:val="22"/>
        </w:rPr>
        <w:t xml:space="preserve">Golec, M., Walia, G.K., Kumar, M., Latasa, F.C., Gill, S.S. and Uhlig, S. (2024). Cold Start Latency in Serverless Computing: A Systematic Review, Taxonomy, and Future Directions. ACM Computing Surveys. Available at: https://arxiv.org/abs/2310.08437</w:t>
      </w:r>
    </w:p>
    <w:p>
      <w:pPr>
        <w:pStyle w:val="ListParagraph"/>
        <w:numPr>
          <w:ilvl w:val="0"/>
          <w:numId w:val="2"/>
        </w:numPr>
        <w:spacing w:after="120"/>
      </w:pPr>
      <w:r>
        <w:rPr>
          <w:rFonts w:ascii="Arial" w:cs="Arial" w:eastAsia="Arial" w:hAnsi="Arial"/>
          <w:sz w:val="22"/>
          <w:szCs w:val="22"/>
        </w:rPr>
        <w:t xml:space="preserve">Shahrad, M., Fonseca, R., Goiri, I., Chaudhry, G., Batum, P., Cooke, J., Laureano, E., Tresness, C., Russinovich, M. and Bianchini, R. (2020). Serverless in the Wild: Characterizing and Optimizing the Serverless Workload at a Large Cloud Provider. Microsoft Azure and Microsoft Research. Available at: https://arxiv.org/pdf/2003.03423</w:t>
      </w:r>
    </w:p>
    <w:p>
      <w:pPr>
        <w:pStyle w:val="ListParagraph"/>
        <w:numPr>
          <w:ilvl w:val="0"/>
          <w:numId w:val="2"/>
        </w:numPr>
        <w:spacing w:after="120"/>
      </w:pPr>
      <w:r>
        <w:rPr>
          <w:rFonts w:ascii="Arial" w:cs="Arial" w:eastAsia="Arial" w:hAnsi="Arial"/>
          <w:sz w:val="22"/>
          <w:szCs w:val="22"/>
        </w:rPr>
        <w:t xml:space="preserve">Mampage, A., Karunasekera, S. and Buyya, R. (2022). A Holistic View on Resource Management in Serverless Computing Environments: Taxonomy and Future Directions. ACM Computing Surveys (CSUR), 54(11s), pp.1-36.</w:t>
      </w:r>
    </w:p>
    <w:p>
      <w:pPr>
        <w:pStyle w:val="ListParagraph"/>
        <w:numPr>
          <w:ilvl w:val="0"/>
          <w:numId w:val="2"/>
        </w:numPr>
        <w:spacing w:after="120"/>
      </w:pPr>
      <w:r>
        <w:rPr>
          <w:rFonts w:ascii="Arial" w:cs="Arial" w:eastAsia="Arial" w:hAnsi="Arial"/>
          <w:sz w:val="22"/>
          <w:szCs w:val="22"/>
        </w:rPr>
        <w:t xml:space="preserve">McGrath, G. and Brenner, P.R. (2017). Serverless Computing: Design, Implementation, and Performance. IEEE 37th International Conference on Distributed Computing Systems Workshops (ICDCSW). IEEE. Available at: https://ieeexplore.ieee.org/document/7979855</w:t>
      </w:r>
    </w:p>
    <w:p>
      <w:pPr>
        <w:pStyle w:val="ListParagraph"/>
        <w:numPr>
          <w:ilvl w:val="0"/>
          <w:numId w:val="2"/>
        </w:numPr>
        <w:spacing w:after="120"/>
      </w:pPr>
      <w:r>
        <w:rPr>
          <w:rFonts w:ascii="Arial" w:cs="Arial" w:eastAsia="Arial" w:hAnsi="Arial"/>
          <w:sz w:val="22"/>
          <w:szCs w:val="22"/>
        </w:rPr>
        <w:t xml:space="preserve">Hamza, M., Akbar, M.A. and Capilla, R. (2024). Understanding Cost Dynamics of Serverless Computing: An Empirical Study. In: Hyrynsalmi, S., Munchi, J., Smolander, K., Melegati, J. (eds) Software Business. ICSOB 2023. Lecture Notes in Business Information Processing, vol 500. Springer, Cham. https://doi.org/10.1007/978-3-031-53227-6_32</w:t>
      </w:r>
    </w:p>
    <w:p>
      <w:pPr>
        <w:pStyle w:val="ListParagraph"/>
        <w:numPr>
          <w:ilvl w:val="0"/>
          <w:numId w:val="2"/>
        </w:numPr>
        <w:spacing w:after="120"/>
      </w:pPr>
      <w:r>
        <w:rPr>
          <w:rFonts w:ascii="Arial" w:cs="Arial" w:eastAsia="Arial" w:hAnsi="Arial"/>
          <w:sz w:val="22"/>
          <w:szCs w:val="22"/>
        </w:rPr>
        <w:t xml:space="preserve">Liu, F. and Niu, F. (2023). Demystifying the Cost of Serverless Computing: Towards a Win-Win Deal. IEEE Transactions on Parallel and Distributed Systems, 35(1), pp.59-72.</w:t>
      </w:r>
    </w:p>
    <w:p>
      <w:pPr>
        <w:pStyle w:val="ListParagraph"/>
        <w:numPr>
          <w:ilvl w:val="0"/>
          <w:numId w:val="2"/>
        </w:numPr>
        <w:spacing w:after="120"/>
      </w:pPr>
      <w:r>
        <w:rPr>
          <w:rFonts w:ascii="Arial" w:cs="Arial" w:eastAsia="Arial" w:hAnsi="Arial"/>
          <w:sz w:val="22"/>
          <w:szCs w:val="22"/>
        </w:rPr>
        <w:t xml:space="preserve">Thota, A. et al. (2024). Serverless Computing vs. Containerization: Comparative Analysis for Cloud-Native Application Deployment. ResearchGate. Available at: https://www.researchgate.net/publication/390193315</w:t>
      </w:r>
    </w:p>
    <w:p>
      <w:pPr>
        <w:pStyle w:val="ListParagraph"/>
        <w:numPr>
          <w:ilvl w:val="0"/>
          <w:numId w:val="2"/>
        </w:numPr>
        <w:spacing w:after="120"/>
      </w:pPr>
      <w:r>
        <w:rPr>
          <w:rFonts w:ascii="Arial" w:cs="Arial" w:eastAsia="Arial" w:hAnsi="Arial"/>
          <w:sz w:val="22"/>
          <w:szCs w:val="22"/>
        </w:rPr>
        <w:t xml:space="preserve">Kounev, S., Herbst, N., Abad, C.L., Iosup, A., Foster, I.T., Shenoy, P.J., Rana, O.F. and Chien, A.A. (2023). Serverless Computing: What it is, and what it is not? Communications of the ACM, 66(9), pp.80-92. https://doi.org/10.1145/3587249</w:t>
      </w:r>
    </w:p>
    <w:p>
      <w:pPr>
        <w:pStyle w:val="ListParagraph"/>
        <w:numPr>
          <w:ilvl w:val="0"/>
          <w:numId w:val="2"/>
        </w:numPr>
        <w:spacing w:after="120"/>
      </w:pPr>
      <w:r>
        <w:rPr>
          <w:rFonts w:ascii="Arial" w:cs="Arial" w:eastAsia="Arial" w:hAnsi="Arial"/>
          <w:sz w:val="22"/>
          <w:szCs w:val="22"/>
        </w:rPr>
        <w:t xml:space="preserve">Microsoft Azure Documentation (2024). Scalability Considerations for Azure Kubernetes Service Environments. Microsoft Learn. Available at: https://learn.microsoft.com/en-us/azure/cloud-adoption-framework/scenarios/app-platform/aks/scalability</w:t>
      </w:r>
    </w:p>
    <w:p>
      <w:pPr>
        <w:pStyle w:val="ListParagraph"/>
        <w:numPr>
          <w:ilvl w:val="0"/>
          <w:numId w:val="2"/>
        </w:numPr>
        <w:spacing w:after="120"/>
      </w:pPr>
      <w:r>
        <w:rPr>
          <w:rFonts w:ascii="Arial" w:cs="Arial" w:eastAsia="Arial" w:hAnsi="Arial"/>
          <w:sz w:val="22"/>
          <w:szCs w:val="22"/>
        </w:rPr>
        <w:t xml:space="preserve">ACM International Conference on Advances in Computing Research (2023). A Comparative Analysis of Performance and Usability on Serverless and Server-Based Google Cloud Services. Available at: https://www.researchgate.net/publication/371091939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2026-05-16T15:52:24.704Z</dcterms:created>
  <dcterms:modified xsi:type="dcterms:W3CDTF">2026-05-16T15:52:24.705Z</dcterms:modified>
</cp:coreProperties>
</file>

<file path=docProps/custom.xml><?xml version="1.0" encoding="utf-8"?>
<Properties xmlns="http://schemas.openxmlformats.org/officeDocument/2006/custom-properties" xmlns:vt="http://schemas.openxmlformats.org/officeDocument/2006/docPropsVTypes"/>
</file>