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28"/>
          <w:szCs w:val="28"/>
        </w:rPr>
        <w:t xml:space="preserve">CHAPTER 3</w:t>
      </w:r>
    </w:p>
    <w:p>
      <w:pPr>
        <w:spacing w:after="480"/>
        <w:jc w:val="center"/>
      </w:pPr>
      <w:r>
        <w:rPr>
          <w:rFonts w:ascii="Arial" w:cs="Arial" w:eastAsia="Arial" w:hAnsi="Arial"/>
          <w:b/>
          <w:bCs/>
          <w:color w:val="1F3864"/>
          <w:sz w:val="32"/>
          <w:szCs w:val="32"/>
        </w:rPr>
        <w:t xml:space="preserve">RESEARCH METHODOLOGY</w:t>
      </w:r>
    </w:p>
    <w:p>
      <w:pPr>
        <w:pStyle w:val="Heading1"/>
      </w:pPr>
      <w:r>
        <w:rPr>
          <w:rFonts w:ascii="Arial" w:cs="Arial" w:eastAsia="Arial" w:hAnsi="Arial"/>
          <w:b/>
          <w:bCs/>
          <w:sz w:val="32"/>
          <w:szCs w:val="32"/>
        </w:rPr>
        <w:t xml:space="preserve">3.1 Introduction</w:t>
      </w:r>
    </w:p>
    <w:p>
      <w:pPr>
        <w:spacing w:after="200" w:line="360"/>
        <w:jc w:val="both"/>
      </w:pPr>
      <w:r>
        <w:rPr>
          <w:rFonts w:ascii="Arial" w:cs="Arial" w:eastAsia="Arial" w:hAnsi="Arial"/>
          <w:sz w:val="24"/>
          <w:szCs w:val="24"/>
        </w:rPr>
        <w:t xml:space="preserve">This chapter outlines the research methodology adopted in this dissertation. It explains the philosophical stance underpinning the research, the research design selected, the data collection strategy employed, the analytical framework applied, and the measures taken to ensure research quality and validity. The methodology has been designed to address the research aim and objectives set out in Chapter 1, and to bridge the research gap identified in Chapter 2, namely the absence of a controlled, within-Azure comparative study of serverless and container-based architectures.</w:t>
      </w:r>
    </w:p>
    <w:p>
      <w:r>
        <w:t xml:space="preserve"/>
      </w:r>
    </w:p>
    <w:p>
      <w:pPr>
        <w:pStyle w:val="Heading1"/>
      </w:pPr>
      <w:r>
        <w:rPr>
          <w:rFonts w:ascii="Arial" w:cs="Arial" w:eastAsia="Arial" w:hAnsi="Arial"/>
          <w:b/>
          <w:bCs/>
          <w:sz w:val="32"/>
          <w:szCs w:val="32"/>
        </w:rPr>
        <w:t xml:space="preserve">3.2 Research Philosophy</w:t>
      </w:r>
    </w:p>
    <w:p>
      <w:pPr>
        <w:spacing w:after="200" w:line="360"/>
        <w:jc w:val="both"/>
      </w:pPr>
      <w:r>
        <w:rPr>
          <w:rFonts w:ascii="Arial" w:cs="Arial" w:eastAsia="Arial" w:hAnsi="Arial"/>
          <w:sz w:val="24"/>
          <w:szCs w:val="24"/>
        </w:rPr>
        <w:t xml:space="preserve">Research philosophy refers to the set of beliefs and assumptions that guide the way in which knowledge is created and understood. For this dissertation, a positivist philosophical stance has been adopted. Positivism holds that knowledge is derived from observable, measurable, and verifiable data, and that reality exists independently of the researcher's perspective (Saunders, Lewis and Thornhill, 2019). This philosophical position is appropriate for the current study because the research involves the objective comparison of quantifiable parameters, specifically cost, performance, scalability, and reliability, based on data extracted from existing empirical studies, official documentation, and published benchmarks.</w:t>
      </w:r>
    </w:p>
    <w:p>
      <w:pPr>
        <w:spacing w:after="200" w:line="360"/>
        <w:jc w:val="both"/>
      </w:pPr>
      <w:r>
        <w:rPr>
          <w:rFonts w:ascii="Arial" w:cs="Arial" w:eastAsia="Arial" w:hAnsi="Arial"/>
          <w:sz w:val="24"/>
          <w:szCs w:val="24"/>
        </w:rPr>
        <w:t xml:space="preserve">A positivist stance aligns naturally with the deductive research approach adopted in this dissertation, whereby theoretical propositions derived from the literature are tested and evaluated against empirical evidence. This approach ensures that the conclusions drawn are grounded in observable data rather than subjective interpretation, lending credibility and replicability to the research findings.</w:t>
      </w:r>
    </w:p>
    <w:p>
      <w:r>
        <w:t xml:space="preserve"/>
      </w:r>
    </w:p>
    <w:p>
      <w:pPr>
        <w:pStyle w:val="Heading1"/>
      </w:pPr>
      <w:r>
        <w:rPr>
          <w:rFonts w:ascii="Arial" w:cs="Arial" w:eastAsia="Arial" w:hAnsi="Arial"/>
          <w:b/>
          <w:bCs/>
          <w:sz w:val="32"/>
          <w:szCs w:val="32"/>
        </w:rPr>
        <w:t xml:space="preserve">3.3 Research Approach</w:t>
      </w:r>
    </w:p>
    <w:p>
      <w:pPr>
        <w:spacing w:after="200" w:line="360"/>
        <w:jc w:val="both"/>
      </w:pPr>
      <w:r>
        <w:rPr>
          <w:rFonts w:ascii="Arial" w:cs="Arial" w:eastAsia="Arial" w:hAnsi="Arial"/>
          <w:sz w:val="24"/>
          <w:szCs w:val="24"/>
        </w:rPr>
        <w:t xml:space="preserve">This dissertation adopts a deductive research approach. Deductive reasoning proceeds from general theoretical frameworks to specific empirical observations, and is commonly associated with quantitative and comparative research designs (Bryman, 2016). In the context of this study, the general theoretical propositions, such as the expected cost advantages of serverless computing for low-frequency workloads and the performance consistency advantages of container-based architectures, are derived from the literature reviewed in Chapter 2. These propositions are then evaluated against empirical evidence extracted from secondary data sources, allowing conclusions to be drawn about the relative merits of Azure Functions and AKS across the four identified parameters.</w:t>
      </w:r>
    </w:p>
    <w:p>
      <w:r>
        <w:t xml:space="preserve"/>
      </w:r>
    </w:p>
    <w:p>
      <w:pPr>
        <w:pStyle w:val="Heading1"/>
      </w:pPr>
      <w:r>
        <w:rPr>
          <w:rFonts w:ascii="Arial" w:cs="Arial" w:eastAsia="Arial" w:hAnsi="Arial"/>
          <w:b/>
          <w:bCs/>
          <w:sz w:val="32"/>
          <w:szCs w:val="32"/>
        </w:rPr>
        <w:t xml:space="preserve">3.4 Research Design</w:t>
      </w:r>
    </w:p>
    <w:p>
      <w:pPr>
        <w:spacing w:after="200" w:line="360"/>
        <w:jc w:val="both"/>
      </w:pPr>
      <w:r>
        <w:rPr>
          <w:rFonts w:ascii="Arial" w:cs="Arial" w:eastAsia="Arial" w:hAnsi="Arial"/>
          <w:sz w:val="24"/>
          <w:szCs w:val="24"/>
        </w:rPr>
        <w:t xml:space="preserve">The research design of this dissertation is a comparative study using secondary data analysis, also known in the academic literature as Systematic Secondary Data Analysis (SSDA). This design was selected for two primary reasons.</w:t>
      </w:r>
    </w:p>
    <w:p>
      <w:pPr>
        <w:spacing w:after="200" w:line="360"/>
        <w:jc w:val="both"/>
      </w:pPr>
      <w:r>
        <w:rPr>
          <w:rFonts w:ascii="Arial" w:cs="Arial" w:eastAsia="Arial" w:hAnsi="Arial"/>
          <w:sz w:val="24"/>
          <w:szCs w:val="24"/>
        </w:rPr>
        <w:t xml:space="preserve">First, the research question requires a structured, systematic comparison of two architectural paradigms across multiple parameters, which is well-suited to a comparative research design. Comparative designs allow researchers to examine similarities and differences between two or more entities in a controlled and structured manner, producing evidence-based insights that would not be achievable through a single-case study (Yin, 2018).</w:t>
      </w:r>
    </w:p>
    <w:p>
      <w:pPr>
        <w:spacing w:after="200" w:line="360"/>
        <w:jc w:val="both"/>
      </w:pPr>
      <w:r>
        <w:rPr>
          <w:rFonts w:ascii="Arial" w:cs="Arial" w:eastAsia="Arial" w:hAnsi="Arial"/>
          <w:sz w:val="24"/>
          <w:szCs w:val="24"/>
        </w:rPr>
        <w:t xml:space="preserve">Second, the constraints of this dissertation, including the timeline and the scope of a Master's level study, necessitate the use of secondary data rather than primary experimental data collected through live cloud deployments. Secondary data analysis is a well-established and academically rigorous methodology, particularly in computer science and information technology research, where large volumes of high-quality empirical data are available through peer-reviewed publications, technical reports, and official cloud provider documentation (Johnston, 2017).</w:t>
      </w:r>
    </w:p>
    <w:p>
      <w:pPr>
        <w:spacing w:after="200" w:line="360"/>
        <w:jc w:val="both"/>
      </w:pPr>
      <w:r>
        <w:rPr>
          <w:rFonts w:ascii="Arial" w:cs="Arial" w:eastAsia="Arial" w:hAnsi="Arial"/>
          <w:sz w:val="24"/>
          <w:szCs w:val="24"/>
        </w:rPr>
        <w:t xml:space="preserve">Importantly, the use of secondary data does not diminish the originality of this research. The original contribution of this dissertation lies in the analytical framework applied to synthesise existing data within a controlled, Azure-only context, and in the conclusions drawn from that synthesis, which have not previously been presented in the literature.</w:t>
      </w:r>
    </w:p>
    <w:p>
      <w:r>
        <w:t xml:space="preserve"/>
      </w:r>
    </w:p>
    <w:p>
      <w:pPr>
        <w:pStyle w:val="Heading1"/>
      </w:pPr>
      <w:r>
        <w:rPr>
          <w:rFonts w:ascii="Arial" w:cs="Arial" w:eastAsia="Arial" w:hAnsi="Arial"/>
          <w:b/>
          <w:bCs/>
          <w:sz w:val="32"/>
          <w:szCs w:val="32"/>
        </w:rPr>
        <w:t xml:space="preserve">3.5 Data Collection Strategy</w:t>
      </w:r>
    </w:p>
    <w:p>
      <w:pPr>
        <w:pStyle w:val="Heading2"/>
      </w:pPr>
      <w:r>
        <w:rPr>
          <w:rFonts w:ascii="Arial" w:cs="Arial" w:eastAsia="Arial" w:hAnsi="Arial"/>
          <w:b/>
          <w:bCs/>
          <w:sz w:val="28"/>
          <w:szCs w:val="28"/>
        </w:rPr>
        <w:t xml:space="preserve">3.5.1 Data Sources</w:t>
      </w:r>
    </w:p>
    <w:p>
      <w:pPr>
        <w:spacing w:after="200" w:line="360"/>
        <w:jc w:val="both"/>
      </w:pPr>
      <w:r>
        <w:rPr>
          <w:rFonts w:ascii="Arial" w:cs="Arial" w:eastAsia="Arial" w:hAnsi="Arial"/>
          <w:sz w:val="24"/>
          <w:szCs w:val="24"/>
        </w:rPr>
        <w:t xml:space="preserve">Data for this dissertation has been collected from three categories of secondary sources, each selected to ensure academic rigour, relevance, and recency.</w:t>
      </w:r>
    </w:p>
    <w:p>
      <w:pPr>
        <w:spacing w:after="200" w:line="360"/>
        <w:jc w:val="both"/>
      </w:pPr>
      <w:r>
        <w:rPr>
          <w:rFonts w:ascii="Arial" w:cs="Arial" w:eastAsia="Arial" w:hAnsi="Arial"/>
          <w:sz w:val="24"/>
          <w:szCs w:val="24"/>
        </w:rPr>
        <w:t xml:space="preserve">Category 1 — Peer-Reviewed Research Papers: The primary source of data for this dissertation is peer-reviewed academic literature published in recognised journals and conference proceedings, including IEEE Transactions on Cloud Computing, ACM Computing Surveys, Springer Lecture Notes in Computer Science, and arXiv preprints accepted for peer review. Papers were selected based on their direct relevance to the research parameters (cost, performance, scalability, reliability) and their focus on serverless or container-based cloud architectures. Only publications from 2017 to 2024 have been included to ensure recency and relevance to the current state of the technology.</w:t>
      </w:r>
    </w:p>
    <w:p>
      <w:pPr>
        <w:spacing w:after="200" w:line="360"/>
        <w:jc w:val="both"/>
      </w:pPr>
      <w:r>
        <w:rPr>
          <w:rFonts w:ascii="Arial" w:cs="Arial" w:eastAsia="Arial" w:hAnsi="Arial"/>
          <w:sz w:val="24"/>
          <w:szCs w:val="24"/>
        </w:rPr>
        <w:t xml:space="preserve">Category 2 — Official Microsoft Azure Documentation: Microsoft's official technical documentation for Azure Functions and Azure Kubernetes Service provides authoritative, provider-verified data on pricing models, scaling mechanisms, reliability features, and architectural constraints. This documentation is used as a primary reference for factual technical claims about the two services, supplementing the academic literature.</w:t>
      </w:r>
    </w:p>
    <w:p>
      <w:pPr>
        <w:spacing w:after="200" w:line="360"/>
        <w:jc w:val="both"/>
      </w:pPr>
      <w:r>
        <w:rPr>
          <w:rFonts w:ascii="Arial" w:cs="Arial" w:eastAsia="Arial" w:hAnsi="Arial"/>
          <w:sz w:val="24"/>
          <w:szCs w:val="24"/>
        </w:rPr>
        <w:t xml:space="preserve">Category 3 — Published Industry Benchmarks and Technical Reports: Industry reports from reputable organisations, including the Cloud Native Computing Foundation (CNCF) and technical benchmarking studies from cloud research groups, provide empirical performance and reliability data that complements the academic literature.</w:t>
      </w:r>
    </w:p>
    <w:p>
      <w:pPr>
        <w:pStyle w:val="Heading2"/>
      </w:pPr>
      <w:r>
        <w:rPr>
          <w:rFonts w:ascii="Arial" w:cs="Arial" w:eastAsia="Arial" w:hAnsi="Arial"/>
          <w:b/>
          <w:bCs/>
          <w:sz w:val="28"/>
          <w:szCs w:val="28"/>
        </w:rPr>
        <w:t xml:space="preserve">3.5.2 Inclusion and Exclusion Criteria</w:t>
      </w:r>
    </w:p>
    <w:p>
      <w:pPr>
        <w:spacing w:after="200" w:line="360"/>
        <w:jc w:val="both"/>
      </w:pPr>
      <w:r>
        <w:rPr>
          <w:rFonts w:ascii="Arial" w:cs="Arial" w:eastAsia="Arial" w:hAnsi="Arial"/>
          <w:sz w:val="24"/>
          <w:szCs w:val="24"/>
        </w:rPr>
        <w:t xml:space="preserve">To ensure the quality and consistency of the data collected, the following inclusion and exclusion criteria were applied during the literature selection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Inclusion Criteria</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Exclusion Criteria</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Published in peer-reviewed journals or conferences (IEEE, ACM, Springer, arXiv)</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Blog posts, opinion articles, or non-peer-reviewed web content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Published between 2017 and 2024</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Publications older than 2017, as the technology landscape has changed significantly</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Directly relevant to serverless computing, containerisation, or cloud architecture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Studies focusing exclusively on non-Azure cloud platforms without transferable insights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Contains empirical data or systematic analysis related to cost, performance, scalability, or reliability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Purely theoretical papers with no empirical grounding</w:t>
            </w:r>
          </w:p>
        </w:tc>
      </w:tr>
    </w:tbl>
    <w:p>
      <w:r>
        <w:t xml:space="preserve"/>
      </w:r>
    </w:p>
    <w:p>
      <w:pPr>
        <w:pStyle w:val="Heading1"/>
      </w:pPr>
      <w:r>
        <w:rPr>
          <w:rFonts w:ascii="Arial" w:cs="Arial" w:eastAsia="Arial" w:hAnsi="Arial"/>
          <w:b/>
          <w:bCs/>
          <w:sz w:val="32"/>
          <w:szCs w:val="32"/>
        </w:rPr>
        <w:t xml:space="preserve">3.6 Analytical Framework</w:t>
      </w:r>
    </w:p>
    <w:p>
      <w:pPr>
        <w:spacing w:after="200" w:line="360"/>
        <w:jc w:val="both"/>
      </w:pPr>
      <w:r>
        <w:rPr>
          <w:rFonts w:ascii="Arial" w:cs="Arial" w:eastAsia="Arial" w:hAnsi="Arial"/>
          <w:sz w:val="24"/>
          <w:szCs w:val="24"/>
        </w:rPr>
        <w:t xml:space="preserve">The analytical framework for this dissertation is structured around four comparison parameters derived from the research objectives and the literature review. Each parameter is defined below, along with the specific metrics and data points used to operationalise it in the comparative analysis presented in Chapter 4.</w:t>
      </w:r>
    </w:p>
    <w:p>
      <w:pPr>
        <w:pStyle w:val="Heading2"/>
      </w:pPr>
      <w:r>
        <w:rPr>
          <w:rFonts w:ascii="Arial" w:cs="Arial" w:eastAsia="Arial" w:hAnsi="Arial"/>
          <w:b/>
          <w:bCs/>
          <w:sz w:val="28"/>
          <w:szCs w:val="28"/>
        </w:rPr>
        <w:t xml:space="preserve">3.6.1 Cost</w:t>
      </w:r>
    </w:p>
    <w:p>
      <w:pPr>
        <w:spacing w:after="200" w:line="360"/>
        <w:jc w:val="both"/>
      </w:pPr>
      <w:r>
        <w:rPr>
          <w:rFonts w:ascii="Arial" w:cs="Arial" w:eastAsia="Arial" w:hAnsi="Arial"/>
          <w:sz w:val="24"/>
          <w:szCs w:val="24"/>
        </w:rPr>
        <w:t xml:space="preserve">The cost parameter examines the financial implications of deploying workloads on Azure Functions versus AKS under varying traffic patterns. Key metrics include the per-execution billing model of Azure Functions (cost per invocation and per GB-second of execution), the node-hour billing model of AKS, the breakeven point at which one architecture becomes more cost-effective than the other, and the presence of hidden costs such as cold start overhead, NAT gateway fees, and idle resource charges.</w:t>
      </w:r>
    </w:p>
    <w:p>
      <w:pPr>
        <w:pStyle w:val="Heading2"/>
      </w:pPr>
      <w:r>
        <w:rPr>
          <w:rFonts w:ascii="Arial" w:cs="Arial" w:eastAsia="Arial" w:hAnsi="Arial"/>
          <w:b/>
          <w:bCs/>
          <w:sz w:val="28"/>
          <w:szCs w:val="28"/>
        </w:rPr>
        <w:t xml:space="preserve">3.6.2 Performance</w:t>
      </w:r>
    </w:p>
    <w:p>
      <w:pPr>
        <w:spacing w:after="200" w:line="360"/>
        <w:jc w:val="both"/>
      </w:pPr>
      <w:r>
        <w:rPr>
          <w:rFonts w:ascii="Arial" w:cs="Arial" w:eastAsia="Arial" w:hAnsi="Arial"/>
          <w:sz w:val="24"/>
          <w:szCs w:val="24"/>
        </w:rPr>
        <w:t xml:space="preserve">The performance parameter examines the responsiveness and execution efficiency of both architectures. Key metrics include cold start latency (the time taken to initialise a new function instance in Azure Functions), warm execution latency, throughput (requests per second), and CPU utilisation under varying load conditions. Performance data is drawn primarily from the empirical study by Shahrad et al. (2020) and the systematic review by Golec et al. (2024).</w:t>
      </w:r>
    </w:p>
    <w:p>
      <w:pPr>
        <w:pStyle w:val="Heading2"/>
      </w:pPr>
      <w:r>
        <w:rPr>
          <w:rFonts w:ascii="Arial" w:cs="Arial" w:eastAsia="Arial" w:hAnsi="Arial"/>
          <w:b/>
          <w:bCs/>
          <w:sz w:val="28"/>
          <w:szCs w:val="28"/>
        </w:rPr>
        <w:t xml:space="preserve">3.6.3 Scalability</w:t>
      </w:r>
    </w:p>
    <w:p>
      <w:pPr>
        <w:spacing w:after="200" w:line="360"/>
        <w:jc w:val="both"/>
      </w:pPr>
      <w:r>
        <w:rPr>
          <w:rFonts w:ascii="Arial" w:cs="Arial" w:eastAsia="Arial" w:hAnsi="Arial"/>
          <w:sz w:val="24"/>
          <w:szCs w:val="24"/>
        </w:rPr>
        <w:t xml:space="preserve">The scalability parameter examines how each architecture responds to changes in workload demand. Key metrics include time-to-scale (how quickly the architecture can provision additional capacity), scale-to-zero capability (the ability to reduce resource consumption to zero during idle periods), maximum concurrency limits, and the behaviour under sudden traffic spikes versus sustained load increases. Azure Functions' event-driven auto-scaling is compared against AKS's Horizontal Pod Autoscaler and Cluster Autoscaler mechanisms.</w:t>
      </w:r>
    </w:p>
    <w:p>
      <w:pPr>
        <w:pStyle w:val="Heading2"/>
      </w:pPr>
      <w:r>
        <w:rPr>
          <w:rFonts w:ascii="Arial" w:cs="Arial" w:eastAsia="Arial" w:hAnsi="Arial"/>
          <w:b/>
          <w:bCs/>
          <w:sz w:val="28"/>
          <w:szCs w:val="28"/>
        </w:rPr>
        <w:t xml:space="preserve">3.6.4 Reliability</w:t>
      </w:r>
    </w:p>
    <w:p>
      <w:pPr>
        <w:spacing w:after="200" w:line="360"/>
        <w:jc w:val="both"/>
      </w:pPr>
      <w:r>
        <w:rPr>
          <w:rFonts w:ascii="Arial" w:cs="Arial" w:eastAsia="Arial" w:hAnsi="Arial"/>
          <w:sz w:val="24"/>
          <w:szCs w:val="24"/>
        </w:rPr>
        <w:t xml:space="preserve">The reliability parameter examines the fault tolerance and availability characteristics of each architecture. Key metrics include platform-managed versus user-managed availability, support for multi-zone and multi-region deployments, failure recovery mechanisms, and the operational complexity associated with maintaining high availability. Data is drawn from Microsoft Azure reliability documentation and the 2024 Kubernetes Benchmark Report.</w:t>
      </w:r>
    </w:p>
    <w:p>
      <w:r>
        <w:t xml:space="preserve"/>
      </w:r>
    </w:p>
    <w:p>
      <w:pPr>
        <w:spacing w:after="200" w:line="360"/>
        <w:jc w:val="both"/>
      </w:pPr>
      <w:r>
        <w:rPr>
          <w:rFonts w:ascii="Arial" w:cs="Arial" w:eastAsia="Arial" w:hAnsi="Arial"/>
          <w:sz w:val="24"/>
          <w:szCs w:val="24"/>
        </w:rPr>
        <w:t xml:space="preserve">Table 3.2 below summarises the analytical framework applied in this dissertation.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Parameter</w:t>
            </w:r>
          </w:p>
        </w:tc>
        <w:tc>
          <w:tcPr>
            <w:tcW w:type="dxa" w:w="3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Azure Functions (Serverless)</w:t>
            </w:r>
          </w:p>
        </w:tc>
        <w:tc>
          <w:tcPr>
            <w:tcW w:type="dxa" w:w="3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AKS (Container-Based)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Cost</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Per-execution billing; pay-per-use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Per-node-hour billing; continuous 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Performance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Cold start latency; event-driven execution</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Consistent latency; always-warm containers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Scalability</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Instant auto-scale; scale to zero</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HPA and Cluster Autoscaler; node provisioning lag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Reliability</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Fully managed by Azure; limited user control</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2"/>
                <w:szCs w:val="22"/>
              </w:rPr>
              <w:t xml:space="preserve">User-managed availability; rich fault tolerance options</w:t>
            </w:r>
          </w:p>
        </w:tc>
      </w:tr>
    </w:tbl>
    <w:p>
      <w:r>
        <w:t xml:space="preserve"/>
      </w:r>
    </w:p>
    <w:p>
      <w:pPr>
        <w:pStyle w:val="Heading1"/>
      </w:pPr>
      <w:r>
        <w:rPr>
          <w:rFonts w:ascii="Arial" w:cs="Arial" w:eastAsia="Arial" w:hAnsi="Arial"/>
          <w:b/>
          <w:bCs/>
          <w:sz w:val="32"/>
          <w:szCs w:val="32"/>
        </w:rPr>
        <w:t xml:space="preserve">3.7 Ensuring Research Quality</w:t>
      </w:r>
    </w:p>
    <w:p>
      <w:pPr>
        <w:pStyle w:val="Heading2"/>
      </w:pPr>
      <w:r>
        <w:rPr>
          <w:rFonts w:ascii="Arial" w:cs="Arial" w:eastAsia="Arial" w:hAnsi="Arial"/>
          <w:b/>
          <w:bCs/>
          <w:sz w:val="28"/>
          <w:szCs w:val="28"/>
        </w:rPr>
        <w:t xml:space="preserve">3.7.1 Validity</w:t>
      </w:r>
    </w:p>
    <w:p>
      <w:pPr>
        <w:spacing w:after="200" w:line="360"/>
        <w:jc w:val="both"/>
      </w:pPr>
      <w:r>
        <w:rPr>
          <w:rFonts w:ascii="Arial" w:cs="Arial" w:eastAsia="Arial" w:hAnsi="Arial"/>
          <w:sz w:val="24"/>
          <w:szCs w:val="24"/>
        </w:rPr>
        <w:t xml:space="preserve">Internal validity is ensured by confining the comparative analysis strictly to the Microsoft Azure ecosystem, eliminating cross-platform variables that could confound the results. External validity, that is, the generalisability of findings, is necessarily limited to Azure-centric environments; however, the analytical framework developed in this dissertation may be adapted for similar within-platform comparisons on other cloud providers.</w:t>
      </w:r>
    </w:p>
    <w:p>
      <w:pPr>
        <w:pStyle w:val="Heading2"/>
      </w:pPr>
      <w:r>
        <w:rPr>
          <w:rFonts w:ascii="Arial" w:cs="Arial" w:eastAsia="Arial" w:hAnsi="Arial"/>
          <w:b/>
          <w:bCs/>
          <w:sz w:val="28"/>
          <w:szCs w:val="28"/>
        </w:rPr>
        <w:t xml:space="preserve">3.7.2 Reliability</w:t>
      </w:r>
    </w:p>
    <w:p>
      <w:pPr>
        <w:spacing w:after="200" w:line="360"/>
        <w:jc w:val="both"/>
      </w:pPr>
      <w:r>
        <w:rPr>
          <w:rFonts w:ascii="Arial" w:cs="Arial" w:eastAsia="Arial" w:hAnsi="Arial"/>
          <w:sz w:val="24"/>
          <w:szCs w:val="24"/>
        </w:rPr>
        <w:t xml:space="preserve">The reliability of this study is ensured through the exclusive use of peer-reviewed sources and official documentation, and through the transparent documentation of the inclusion and exclusion criteria applied during data collection. The analytical framework is clearly defined and consistently applied across all four parameters, enabling replication by future researchers.</w:t>
      </w:r>
    </w:p>
    <w:p>
      <w:pPr>
        <w:pStyle w:val="Heading2"/>
      </w:pPr>
      <w:r>
        <w:rPr>
          <w:rFonts w:ascii="Arial" w:cs="Arial" w:eastAsia="Arial" w:hAnsi="Arial"/>
          <w:b/>
          <w:bCs/>
          <w:sz w:val="28"/>
          <w:szCs w:val="28"/>
        </w:rPr>
        <w:t xml:space="preserve">3.7.3 Ethical Considerations</w:t>
      </w:r>
    </w:p>
    <w:p>
      <w:pPr>
        <w:spacing w:after="200" w:line="360"/>
        <w:jc w:val="both"/>
      </w:pPr>
      <w:r>
        <w:rPr>
          <w:rFonts w:ascii="Arial" w:cs="Arial" w:eastAsia="Arial" w:hAnsi="Arial"/>
          <w:sz w:val="24"/>
          <w:szCs w:val="24"/>
        </w:rPr>
        <w:t xml:space="preserve">As this dissertation relies entirely on secondary data that is publicly available, no primary data collection involving human participants was conducted. Consequently, there are no ethical concerns relating to participant consent, data privacy, or confidentiality. All sources used in this study are properly cited in accordance with academic referencing conventions.</w:t>
      </w:r>
    </w:p>
    <w:p>
      <w:r>
        <w:t xml:space="preserve"/>
      </w:r>
    </w:p>
    <w:p>
      <w:pPr>
        <w:pStyle w:val="Heading1"/>
      </w:pPr>
      <w:r>
        <w:rPr>
          <w:rFonts w:ascii="Arial" w:cs="Arial" w:eastAsia="Arial" w:hAnsi="Arial"/>
          <w:b/>
          <w:bCs/>
          <w:sz w:val="32"/>
          <w:szCs w:val="32"/>
        </w:rPr>
        <w:t xml:space="preserve">3.8 Limitations of the Methodology</w:t>
      </w:r>
    </w:p>
    <w:p>
      <w:pPr>
        <w:spacing w:after="200" w:line="360"/>
        <w:jc w:val="both"/>
      </w:pPr>
      <w:r>
        <w:rPr>
          <w:rFonts w:ascii="Arial" w:cs="Arial" w:eastAsia="Arial" w:hAnsi="Arial"/>
          <w:sz w:val="24"/>
          <w:szCs w:val="24"/>
        </w:rPr>
        <w:t xml:space="preserve">The primary limitation of the secondary data analysis methodology adopted in this dissertation is its dependence on the quality and scope of existing research. Where gaps exist in the literature, for example, in the direct empirical comparison of Azure Functions and AKS within a single controlled environment, this study cannot fill those gaps through its own primary experimentation. Instead, it synthesises the best available evidence, clearly noting where findings are extrapolated from related studies.</w:t>
      </w:r>
    </w:p>
    <w:p>
      <w:pPr>
        <w:spacing w:after="200" w:line="360"/>
        <w:jc w:val="both"/>
      </w:pPr>
      <w:r>
        <w:rPr>
          <w:rFonts w:ascii="Arial" w:cs="Arial" w:eastAsia="Arial" w:hAnsi="Arial"/>
          <w:sz w:val="24"/>
          <w:szCs w:val="24"/>
        </w:rPr>
        <w:t xml:space="preserve">A further limitation is that cloud services evolve rapidly, and pricing models, performance characteristics, and feature sets may change between the publication of the sources used in this study and the date of this dissertation's submission. Efforts have been made to use the most recent available sources, but readers should be aware that some specific figures, particularly pricing data, may require verification against current Microsoft Azure documentation.</w:t>
      </w:r>
    </w:p>
    <w:p>
      <w:r>
        <w:t xml:space="preserve"/>
      </w:r>
    </w:p>
    <w:p>
      <w:pPr>
        <w:pStyle w:val="Heading1"/>
      </w:pPr>
      <w:r>
        <w:rPr>
          <w:rFonts w:ascii="Arial" w:cs="Arial" w:eastAsia="Arial" w:hAnsi="Arial"/>
          <w:b/>
          <w:bCs/>
          <w:sz w:val="32"/>
          <w:szCs w:val="32"/>
        </w:rPr>
        <w:t xml:space="preserve">3.9 Summary</w:t>
      </w:r>
    </w:p>
    <w:p>
      <w:pPr>
        <w:spacing w:after="200" w:line="360"/>
        <w:jc w:val="both"/>
      </w:pPr>
      <w:r>
        <w:rPr>
          <w:rFonts w:ascii="Arial" w:cs="Arial" w:eastAsia="Arial" w:hAnsi="Arial"/>
          <w:sz w:val="24"/>
          <w:szCs w:val="24"/>
        </w:rPr>
        <w:t xml:space="preserve">This chapter has outlined the research philosophy, approach, design, data collection strategy, analytical framework, and quality assurance measures adopted in this dissertation. A positivist, deductive approach has been combined with a comparative secondary data analysis design to produce a rigorous, controlled evaluation of Azure Functions and AKS across the four parameters of cost, performance, scalability, and reliability. The analytical framework established in this chapter provides the structure for Chapter 4, which presents the comparative analysis and findings.</w:t>
      </w:r>
    </w:p>
    <w:p>
      <w:r>
        <w:t xml:space="preserve"/>
      </w:r>
    </w:p>
    <w:p>
      <w:pPr>
        <w:pStyle w:val="Heading1"/>
      </w:pPr>
      <w:r>
        <w:rPr>
          <w:rFonts w:ascii="Arial" w:cs="Arial" w:eastAsia="Arial" w:hAnsi="Arial"/>
          <w:b/>
          <w:bCs/>
          <w:sz w:val="32"/>
          <w:szCs w:val="32"/>
        </w:rPr>
        <w:t xml:space="preserve">References</w:t>
      </w:r>
    </w:p>
    <w:p>
      <w:pPr>
        <w:spacing w:after="120"/>
      </w:pPr>
      <w:r>
        <w:rPr>
          <w:rFonts w:ascii="Arial" w:cs="Arial" w:eastAsia="Arial" w:hAnsi="Arial"/>
          <w:sz w:val="22"/>
          <w:szCs w:val="22"/>
        </w:rPr>
        <w:t xml:space="preserve">Bryman, A. (2016). Social Research Methods. 5th ed. Oxford: Oxford University Press.</w:t>
      </w:r>
    </w:p>
    <w:p>
      <w:pPr>
        <w:spacing w:after="120"/>
      </w:pPr>
      <w:r>
        <w:rPr>
          <w:rFonts w:ascii="Arial" w:cs="Arial" w:eastAsia="Arial" w:hAnsi="Arial"/>
          <w:sz w:val="22"/>
          <w:szCs w:val="22"/>
        </w:rPr>
        <w:t xml:space="preserve">Johnston, M.P. (2017). Secondary Data Analysis: A Method of which the Time Has Come. Qualitative and Quantitative Methods in Libraries, 3(3), pp.619-626.</w:t>
      </w:r>
    </w:p>
    <w:p>
      <w:pPr>
        <w:spacing w:after="120"/>
      </w:pPr>
      <w:r>
        <w:rPr>
          <w:rFonts w:ascii="Arial" w:cs="Arial" w:eastAsia="Arial" w:hAnsi="Arial"/>
          <w:sz w:val="22"/>
          <w:szCs w:val="22"/>
        </w:rPr>
        <w:t xml:space="preserve">Saunders, M., Lewis, P. and Thornhill, A. (2019). Research Methods for Business Students. 8th ed. Harlow: Pearson Education.</w:t>
      </w:r>
    </w:p>
    <w:p>
      <w:pPr>
        <w:spacing w:after="120"/>
      </w:pPr>
      <w:r>
        <w:rPr>
          <w:rFonts w:ascii="Arial" w:cs="Arial" w:eastAsia="Arial" w:hAnsi="Arial"/>
          <w:sz w:val="22"/>
          <w:szCs w:val="22"/>
        </w:rPr>
        <w:t xml:space="preserve">Yin, R.K. (2018). Case Study Research and Applications: Design and Methods. 6th ed. Thousand Oaks: SAGE Publications.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2026-05-16T15:57:52.858Z</dcterms:created>
  <dcterms:modified xsi:type="dcterms:W3CDTF">2026-05-16T15:57:52.858Z</dcterms:modified>
</cp:coreProperties>
</file>

<file path=docProps/custom.xml><?xml version="1.0" encoding="utf-8"?>
<Properties xmlns="http://schemas.openxmlformats.org/officeDocument/2006/custom-properties" xmlns:vt="http://schemas.openxmlformats.org/officeDocument/2006/docPropsVTypes"/>
</file>