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F3864"/>
          <w:sz w:val="28"/>
          <w:szCs w:val="28"/>
        </w:rPr>
        <w:t xml:space="preserve">CHAPTER 5</w:t>
      </w:r>
    </w:p>
    <w:p>
      <w:pPr>
        <w:spacing w:after="480"/>
        <w:jc w:val="center"/>
      </w:pPr>
      <w:r>
        <w:rPr>
          <w:rFonts w:ascii="Arial" w:cs="Arial" w:eastAsia="Arial" w:hAnsi="Arial"/>
          <w:b/>
          <w:bCs/>
          <w:color w:val="1F3864"/>
          <w:sz w:val="32"/>
          <w:szCs w:val="32"/>
        </w:rPr>
        <w:t xml:space="preserve">DISCUSSION</w:t>
      </w:r>
    </w:p>
    <w:p>
      <w:pPr>
        <w:pStyle w:val="Heading1"/>
      </w:pPr>
      <w:r>
        <w:rPr>
          <w:rFonts w:ascii="Arial" w:cs="Arial" w:eastAsia="Arial" w:hAnsi="Arial"/>
          <w:b/>
          <w:bCs/>
          <w:sz w:val="32"/>
          <w:szCs w:val="32"/>
        </w:rPr>
        <w:t xml:space="preserve">5.1 Introduction</w:t>
      </w:r>
    </w:p>
    <w:p>
      <w:pPr>
        <w:spacing w:after="200" w:line="360"/>
        <w:jc w:val="both"/>
      </w:pPr>
      <w:r>
        <w:rPr>
          <w:rFonts w:ascii="Arial" w:cs="Arial" w:eastAsia="Arial" w:hAnsi="Arial"/>
          <w:sz w:val="24"/>
          <w:szCs w:val="24"/>
        </w:rPr>
        <w:t xml:space="preserve">This chapter interprets and critically discusses the findings presented in Chapter 4 in the context of the existing literature reviewed in Chapter 2, the research questions established in Chapter 1, and the broader implications for cloud engineering and cloud support practice. Unlike Chapter 4, which presented the comparative findings in a structured, parameter-by-parameter format, this chapter adopts a more integrative and critical perspective, examining what the findings mean collectively, where they align with or diverge from existing research, and what practical and theoretical implications they carry for cloud practitioners and researchers.</w:t>
      </w:r>
    </w:p>
    <w:p>
      <w:pPr>
        <w:spacing w:after="200" w:line="360"/>
        <w:jc w:val="both"/>
      </w:pPr>
      <w:r>
        <w:rPr>
          <w:rFonts w:ascii="Arial" w:cs="Arial" w:eastAsia="Arial" w:hAnsi="Arial"/>
          <w:sz w:val="24"/>
          <w:szCs w:val="24"/>
        </w:rPr>
        <w:t xml:space="preserve">The discussion is organised around three principal themes: the alignment of findings with existing literature, the practical implications for cloud architecture decision-making, and the theoretical contributions of this study to the body of knowledge on cloud computing. The chapter concludes by reflecting on the limitations of the study and their implications for the interpretation of findings.</w:t>
      </w:r>
    </w:p>
    <w:p>
      <w:r>
        <w:t xml:space="preserve"/>
      </w:r>
    </w:p>
    <w:p>
      <w:pPr>
        <w:pStyle w:val="Heading1"/>
      </w:pPr>
      <w:r>
        <w:rPr>
          <w:rFonts w:ascii="Arial" w:cs="Arial" w:eastAsia="Arial" w:hAnsi="Arial"/>
          <w:b/>
          <w:bCs/>
          <w:sz w:val="32"/>
          <w:szCs w:val="32"/>
        </w:rPr>
        <w:t xml:space="preserve">5.2 Alignment of Findings with Existing Literature</w:t>
      </w:r>
    </w:p>
    <w:p>
      <w:pPr>
        <w:pStyle w:val="Heading2"/>
      </w:pPr>
      <w:r>
        <w:rPr>
          <w:rFonts w:ascii="Arial" w:cs="Arial" w:eastAsia="Arial" w:hAnsi="Arial"/>
          <w:b/>
          <w:bCs/>
          <w:sz w:val="28"/>
          <w:szCs w:val="28"/>
        </w:rPr>
        <w:t xml:space="preserve">5.2.1 Cost Findings</w:t>
      </w:r>
    </w:p>
    <w:p>
      <w:pPr>
        <w:spacing w:after="200" w:line="360"/>
        <w:jc w:val="both"/>
      </w:pPr>
      <w:r>
        <w:rPr>
          <w:rFonts w:ascii="Arial" w:cs="Arial" w:eastAsia="Arial" w:hAnsi="Arial"/>
          <w:sz w:val="24"/>
          <w:szCs w:val="24"/>
        </w:rPr>
        <w:t xml:space="preserve">The finding that cost efficiency is workload-dependent, with Azure Functions advantageous for low-frequency workloads and AKS more economical for sustained, high-frequency workloads, is strongly consistent with the existing literature. Hamza, Akbar, and Capilla (2024) demonstrated empirically that serverless architectures provide significant cost advantages for sporadic workloads through their pay-per-use model, while Liu and Niu (2023) identified a duty-cycle threshold beyond which container-based architectures become more cost-effective. The findings of this dissertation corroborate these conclusions within the specific context of the Azure ecosystem.</w:t>
      </w:r>
    </w:p>
    <w:p>
      <w:pPr>
        <w:spacing w:after="200" w:line="360"/>
        <w:jc w:val="both"/>
      </w:pPr>
      <w:r>
        <w:rPr>
          <w:rFonts w:ascii="Arial" w:cs="Arial" w:eastAsia="Arial" w:hAnsi="Arial"/>
          <w:sz w:val="24"/>
          <w:szCs w:val="24"/>
        </w:rPr>
        <w:t xml:space="preserve">What this dissertation adds beyond the existing literature is a more granular, Azure-specific articulation of the cost breakeven dynamics. By examining Microsoft Azure's actual pricing structures for both Azure Functions and AKS in detail, including the Consumption Plan free tier, the Premium Plan continuous billing model, and the AKS Standard tier management fee of approximately $72 per month, this study provides a more operationally relevant cost comparison than the generalised cross-platform analyses found in the literature. This specificity is a direct consequence of the within-Azure research design and represents a meaningful contribution to the practical literature on cloud cost optimisation.</w:t>
      </w:r>
    </w:p>
    <w:p>
      <w:pPr>
        <w:pStyle w:val="Heading2"/>
      </w:pPr>
      <w:r>
        <w:rPr>
          <w:rFonts w:ascii="Arial" w:cs="Arial" w:eastAsia="Arial" w:hAnsi="Arial"/>
          <w:b/>
          <w:bCs/>
          <w:sz w:val="28"/>
          <w:szCs w:val="28"/>
        </w:rPr>
        <w:t xml:space="preserve">5.2.2 Performance Findings</w:t>
      </w:r>
    </w:p>
    <w:p>
      <w:pPr>
        <w:spacing w:after="200" w:line="360"/>
        <w:jc w:val="both"/>
      </w:pPr>
      <w:r>
        <w:rPr>
          <w:rFonts w:ascii="Arial" w:cs="Arial" w:eastAsia="Arial" w:hAnsi="Arial"/>
          <w:sz w:val="24"/>
          <w:szCs w:val="24"/>
        </w:rPr>
        <w:t xml:space="preserve">The finding that AKS offers superior performance consistency due to the absence of cold starts aligns closely with the established literature. Golec et al. (2024) identified cold start latency as the most significant open performance challenge in serverless computing, and Shahrad et al. (2020) demonstrated that a substantial proportion of Azure Functions invocations are subject to cold starts due to the infrequent invocation patterns observed in production workloads. The findings of this dissertation validate these concerns within a structured Azure-specific comparison.</w:t>
      </w:r>
    </w:p>
    <w:p>
      <w:pPr>
        <w:spacing w:after="200" w:line="360"/>
        <w:jc w:val="both"/>
      </w:pPr>
      <w:r>
        <w:rPr>
          <w:rFonts w:ascii="Arial" w:cs="Arial" w:eastAsia="Arial" w:hAnsi="Arial"/>
          <w:sz w:val="24"/>
          <w:szCs w:val="24"/>
        </w:rPr>
        <w:t xml:space="preserve">However, this dissertation's discussion of the AKS node provisioning lag as a form of scale-out latency analogous in effect to serverless cold starts represents a nuanced contribution not prominently featured in the existing comparative literature. Most studies focus on cold start latency as a serverless-specific problem without equally scrutinising the node provisioning delays inherent in Kubernetes cluster autoscaling. By drawing this parallel, this dissertation offers a more balanced performance analysis that acknowledges the latency trade-offs present in both architectures, rather than positioning containers as an unconditionally superior performance solution.</w:t>
      </w:r>
    </w:p>
    <w:p>
      <w:pPr>
        <w:spacing w:after="200" w:line="360"/>
        <w:jc w:val="both"/>
      </w:pPr>
      <w:r>
        <w:rPr>
          <w:rFonts w:ascii="Arial" w:cs="Arial" w:eastAsia="Arial" w:hAnsi="Arial"/>
          <w:sz w:val="24"/>
          <w:szCs w:val="24"/>
        </w:rPr>
        <w:t xml:space="preserve">This balanced perspective is particularly relevant for cloud support engineers, who must understand the failure modes and performance degradation patterns of both architectures in order to diagnose and resolve incidents effectively. A cloud support professional who understands that AKS can also exhibit latency spikes during node provisioning events is better equipped to identify and communicate root causes during incident management.</w:t>
      </w:r>
    </w:p>
    <w:p>
      <w:pPr>
        <w:pStyle w:val="Heading2"/>
      </w:pPr>
      <w:r>
        <w:rPr>
          <w:rFonts w:ascii="Arial" w:cs="Arial" w:eastAsia="Arial" w:hAnsi="Arial"/>
          <w:b/>
          <w:bCs/>
          <w:sz w:val="28"/>
          <w:szCs w:val="28"/>
        </w:rPr>
        <w:t xml:space="preserve">5.2.3 Scalability Findings</w:t>
      </w:r>
    </w:p>
    <w:p>
      <w:pPr>
        <w:spacing w:after="200" w:line="360"/>
        <w:jc w:val="both"/>
      </w:pPr>
      <w:r>
        <w:rPr>
          <w:rFonts w:ascii="Arial" w:cs="Arial" w:eastAsia="Arial" w:hAnsi="Arial"/>
          <w:sz w:val="24"/>
          <w:szCs w:val="24"/>
        </w:rPr>
        <w:t xml:space="preserve">The finding that Azure Functions provides superior scalability for burst and intermittent traffic through its native scale-to-zero and near-instant scale-out capabilities is consistent with the literature on serverless resource management. Mampage, Karunasekera, and Buyya (2022) established in their holistic taxonomy of serverless resource management that the dynamic provisioning and de-provisioning of resources at millisecond granularity is a defining scalability advantage of FaaS platforms. The findings of this dissertation confirm this advantage in the Azure-specific context.</w:t>
      </w:r>
    </w:p>
    <w:p>
      <w:pPr>
        <w:spacing w:after="200" w:line="360"/>
        <w:jc w:val="both"/>
      </w:pPr>
      <w:r>
        <w:rPr>
          <w:rFonts w:ascii="Arial" w:cs="Arial" w:eastAsia="Arial" w:hAnsi="Arial"/>
          <w:sz w:val="24"/>
          <w:szCs w:val="24"/>
        </w:rPr>
        <w:t xml:space="preserve">The finding that AKS supports significantly larger maximum cluster sizes (up to 5,000 nodes in the Standard tier) and provides more granular scaling control through multiple complementary mechanisms, including HPA, Cluster Autoscaler, VPA, and KEDA, extends the existing literature by contextualising these scalability mechanisms specifically within Azure's managed Kubernetes offering. The 60-second HPA update cycle and the multi-minute node provisioning delay identified in this study provide concrete, Azure-specific scalability constraints that are not typically quantified in the broader Kubernetes scalability literature.</w:t>
      </w:r>
    </w:p>
    <w:p>
      <w:pPr>
        <w:pStyle w:val="Heading2"/>
      </w:pPr>
      <w:r>
        <w:rPr>
          <w:rFonts w:ascii="Arial" w:cs="Arial" w:eastAsia="Arial" w:hAnsi="Arial"/>
          <w:b/>
          <w:bCs/>
          <w:sz w:val="28"/>
          <w:szCs w:val="28"/>
        </w:rPr>
        <w:t xml:space="preserve">5.2.4 Reliability Findings</w:t>
      </w:r>
    </w:p>
    <w:p>
      <w:pPr>
        <w:spacing w:after="200" w:line="360"/>
        <w:jc w:val="both"/>
      </w:pPr>
      <w:r>
        <w:rPr>
          <w:rFonts w:ascii="Arial" w:cs="Arial" w:eastAsia="Arial" w:hAnsi="Arial"/>
          <w:sz w:val="24"/>
          <w:szCs w:val="24"/>
        </w:rPr>
        <w:t xml:space="preserve">The finding that both architectures can achieve comparable SLA levels (99.9–99.95%) on Azure, but through fundamentally different operational models, contributes a nuanced perspective to the reliability discussion in the literature. The existing literature tends to position serverless computing as inherently more reliable due to its fully managed nature, while container-based architectures are characterised as requiring more operational effort to achieve equivalent reliability. The findings of this dissertation support this characterisation but add an important qualification: the reliability of AKS is not merely a function of the platform's capabilities, but also of the operator's Kubernetes expertise and configuration practices.</w:t>
      </w:r>
    </w:p>
    <w:p>
      <w:pPr>
        <w:spacing w:after="200" w:line="360"/>
        <w:jc w:val="both"/>
      </w:pPr>
      <w:r>
        <w:rPr>
          <w:rFonts w:ascii="Arial" w:cs="Arial" w:eastAsia="Arial" w:hAnsi="Arial"/>
          <w:sz w:val="24"/>
          <w:szCs w:val="24"/>
        </w:rPr>
        <w:t xml:space="preserve">The observation from the 2024 Fairwinds Kubernetes Benchmark Report that a significant proportion of production Kubernetes deployments lack properly configured liveness probes and replica settings is particularly significant in this context. It suggests that the theoretical reliability potential of AKS is frequently unrealised in practice due to configuration gaps, a finding with direct implications for cloud support teams responsible for maintaining and troubleshooting AKS deployments. This operational dimension of reliability, which goes beyond the SLA figures published by Microsoft, represents a contribution of this dissertation to the practical cloud computing literature.</w:t>
      </w:r>
    </w:p>
    <w:p>
      <w:r>
        <w:t xml:space="preserve"/>
      </w:r>
    </w:p>
    <w:p>
      <w:pPr>
        <w:pStyle w:val="Heading1"/>
      </w:pPr>
      <w:r>
        <w:rPr>
          <w:rFonts w:ascii="Arial" w:cs="Arial" w:eastAsia="Arial" w:hAnsi="Arial"/>
          <w:b/>
          <w:bCs/>
          <w:sz w:val="32"/>
          <w:szCs w:val="32"/>
        </w:rPr>
        <w:t xml:space="preserve">5.3 Addressing the Research Questions</w:t>
      </w:r>
    </w:p>
    <w:p>
      <w:pPr>
        <w:pStyle w:val="Heading2"/>
      </w:pPr>
      <w:r>
        <w:rPr>
          <w:rFonts w:ascii="Arial" w:cs="Arial" w:eastAsia="Arial" w:hAnsi="Arial"/>
          <w:b/>
          <w:bCs/>
          <w:sz w:val="28"/>
          <w:szCs w:val="28"/>
        </w:rPr>
        <w:t xml:space="preserve">5.3.1 Primary Research Question</w:t>
      </w:r>
    </w:p>
    <w:p>
      <w:pPr>
        <w:spacing w:after="200" w:line="360"/>
        <w:jc w:val="both"/>
      </w:pPr>
      <w:r>
        <w:rPr>
          <w:rFonts w:ascii="Arial" w:cs="Arial" w:eastAsia="Arial" w:hAnsi="Arial"/>
          <w:sz w:val="24"/>
          <w:szCs w:val="24"/>
        </w:rPr>
        <w:t xml:space="preserve">The primary research question asked: How do serverless computing (Azure Functions) and container-based architecture (AKS) compare within the Microsoft Azure ecosystem in terms of cost, performance, scalability, and reliability?</w:t>
      </w:r>
    </w:p>
    <w:p>
      <w:pPr>
        <w:spacing w:after="200" w:line="360"/>
        <w:jc w:val="both"/>
      </w:pPr>
      <w:r>
        <w:rPr>
          <w:rFonts w:ascii="Arial" w:cs="Arial" w:eastAsia="Arial" w:hAnsi="Arial"/>
          <w:sz w:val="24"/>
          <w:szCs w:val="24"/>
        </w:rPr>
        <w:t xml:space="preserve">The comparative analysis demonstrates that neither architecture is universally superior. Azure Functions excels in cost efficiency for low-frequency workloads, scalability for burst traffic, and operational simplicity, while AKS excels in performance consistency, scalability depth for large-scale workloads, and reliability configurability. The appropriate choice between the two architectures is therefore determined by the specific workload characteristics, performance requirements, and operational capabilities of the deploying organisation.</w:t>
      </w:r>
    </w:p>
    <w:p>
      <w:pPr>
        <w:spacing w:after="200" w:line="360"/>
        <w:jc w:val="both"/>
      </w:pPr>
      <w:r>
        <w:rPr>
          <w:rFonts w:ascii="Arial" w:cs="Arial" w:eastAsia="Arial" w:hAnsi="Arial"/>
          <w:sz w:val="24"/>
          <w:szCs w:val="24"/>
        </w:rPr>
        <w:t xml:space="preserve">This finding directly addresses the research gap identified in Chapter 2. By conducting a controlled, within-Azure comparison, this dissertation eliminates the cross-platform variability that has limited the practical utility of previous comparative studies and provides Azure-specific evidence to support architectural decision-making.</w:t>
      </w:r>
    </w:p>
    <w:p>
      <w:pPr>
        <w:pStyle w:val="Heading2"/>
      </w:pPr>
      <w:r>
        <w:rPr>
          <w:rFonts w:ascii="Arial" w:cs="Arial" w:eastAsia="Arial" w:hAnsi="Arial"/>
          <w:b/>
          <w:bCs/>
          <w:sz w:val="28"/>
          <w:szCs w:val="28"/>
        </w:rPr>
        <w:t xml:space="preserve">5.3.2 Secondary Research Questions</w:t>
      </w:r>
    </w:p>
    <w:p>
      <w:pPr>
        <w:spacing w:after="200" w:line="360"/>
        <w:jc w:val="both"/>
      </w:pPr>
      <w:r>
        <w:rPr>
          <w:rFonts w:ascii="Arial" w:cs="Arial" w:eastAsia="Arial" w:hAnsi="Arial"/>
          <w:sz w:val="24"/>
          <w:szCs w:val="24"/>
        </w:rPr>
        <w:t xml:space="preserve">Secondary Research Question 1 asked under what workload conditions Azure Functions offers a cost advantage over AKS, and vice versa. The analysis demonstrates that Azure Functions is cost-advantageous for workloads with low invocation frequency, significant idle periods, or unpredictable traffic patterns, while AKS becomes cost-advantageous for sustained, high-frequency workloads, particularly when reserved instance pricing is applied. The crossover point is not fixed but is determined by the specific invocation rate, execution duration, and memory requirements of the workload.</w:t>
      </w:r>
    </w:p>
    <w:p>
      <w:pPr>
        <w:spacing w:after="200" w:line="360"/>
        <w:jc w:val="both"/>
      </w:pPr>
      <w:r>
        <w:rPr>
          <w:rFonts w:ascii="Arial" w:cs="Arial" w:eastAsia="Arial" w:hAnsi="Arial"/>
          <w:sz w:val="24"/>
          <w:szCs w:val="24"/>
        </w:rPr>
        <w:t xml:space="preserve">Secondary Research Question 2 asked how cold start latency impacts Azure Functions' performance relative to AKS for latency-sensitive workloads. The analysis demonstrates that cold start latency, ranging from 200 milliseconds to over seven seconds in worst-case scenarios, represents a material performance disadvantage for Azure Functions under the Consumption Plan for latency-sensitive applications. AKS avoids this issue entirely for pre-warmed pod replicas, making it the more suitable choice for applications with strict response time SLAs. The Azure Functions Premium Plan mitigates cold starts but introduces continuous resource costs that partially negate its serverless cost advantages.</w:t>
      </w:r>
    </w:p>
    <w:p>
      <w:pPr>
        <w:spacing w:after="200" w:line="360"/>
        <w:jc w:val="both"/>
      </w:pPr>
      <w:r>
        <w:rPr>
          <w:rFonts w:ascii="Arial" w:cs="Arial" w:eastAsia="Arial" w:hAnsi="Arial"/>
          <w:sz w:val="24"/>
          <w:szCs w:val="24"/>
        </w:rPr>
        <w:t xml:space="preserve">Secondary Research Question 3 asked how the auto-scaling mechanisms of Azure Functions and AKS differ in their response to sudden and sustained demand increases. The analysis demonstrates that Azure Functions responds to sudden demand spikes within seconds at the function instance level, making it more responsive for burst traffic scenarios. AKS responds at the pod level within 60 seconds via HPA and at the node level within several minutes via the Cluster Autoscaler, introducing scalability latency that can impact performance during sudden, large-scale demand spikes. For sustained demand increases, AKS's ability to scale to 5,000 nodes provides greater headroom than Azure Functions' default 200-instance limit.</w:t>
      </w:r>
    </w:p>
    <w:p>
      <w:pPr>
        <w:spacing w:after="200" w:line="360"/>
        <w:jc w:val="both"/>
      </w:pPr>
      <w:r>
        <w:rPr>
          <w:rFonts w:ascii="Arial" w:cs="Arial" w:eastAsia="Arial" w:hAnsi="Arial"/>
          <w:sz w:val="24"/>
          <w:szCs w:val="24"/>
        </w:rPr>
        <w:t xml:space="preserve">Secondary Research Question 4 asked which architecture offers greater inherent reliability for enterprise-grade workloads on Azure. The analysis demonstrates that both architectures can achieve equivalent SLA levels (99.9–99.95%) for production workloads. Azure Functions achieves this through full platform management by Microsoft, while AKS achieves it through operator-configured mechanisms including multi-zone node pools, pod disruption budgets, and liveness probes. The inherent reliability of AKS is therefore contingent on correct configuration, whereas Azure Functions' reliability is inherent to the managed platform. For organisations with limited Kubernetes expertise, Azure Functions may offer more reliable outcomes in practice, despite AKS's theoretically superior configurability.</w:t>
      </w:r>
    </w:p>
    <w:p>
      <w:r>
        <w:t xml:space="preserve"/>
      </w:r>
    </w:p>
    <w:p>
      <w:pPr>
        <w:pStyle w:val="Heading1"/>
      </w:pPr>
      <w:r>
        <w:rPr>
          <w:rFonts w:ascii="Arial" w:cs="Arial" w:eastAsia="Arial" w:hAnsi="Arial"/>
          <w:b/>
          <w:bCs/>
          <w:sz w:val="32"/>
          <w:szCs w:val="32"/>
        </w:rPr>
        <w:t xml:space="preserve">5.4 Practical Implications for Cloud Practitioners</w:t>
      </w:r>
    </w:p>
    <w:p>
      <w:pPr>
        <w:pStyle w:val="Heading2"/>
      </w:pPr>
      <w:r>
        <w:rPr>
          <w:rFonts w:ascii="Arial" w:cs="Arial" w:eastAsia="Arial" w:hAnsi="Arial"/>
          <w:b/>
          <w:bCs/>
          <w:sz w:val="28"/>
          <w:szCs w:val="28"/>
        </w:rPr>
        <w:t xml:space="preserve">5.4.1 Implications for Cloud Support Engineers</w:t>
      </w:r>
    </w:p>
    <w:p>
      <w:pPr>
        <w:spacing w:after="200" w:line="360"/>
        <w:jc w:val="both"/>
      </w:pPr>
      <w:r>
        <w:rPr>
          <w:rFonts w:ascii="Arial" w:cs="Arial" w:eastAsia="Arial" w:hAnsi="Arial"/>
          <w:sz w:val="24"/>
          <w:szCs w:val="24"/>
        </w:rPr>
        <w:t xml:space="preserve">The findings of this dissertation have direct and significant implications for cloud support engineers operating within Azure environments. Understanding the architectural trade-offs between Azure Functions and AKS is essential for effective incident diagnosis, customer communication, and escalation management in cloud support roles.</w:t>
      </w:r>
    </w:p>
    <w:p>
      <w:pPr>
        <w:spacing w:after="200" w:line="360"/>
        <w:jc w:val="both"/>
      </w:pPr>
      <w:r>
        <w:rPr>
          <w:rFonts w:ascii="Arial" w:cs="Arial" w:eastAsia="Arial" w:hAnsi="Arial"/>
          <w:sz w:val="24"/>
          <w:szCs w:val="24"/>
        </w:rPr>
        <w:t xml:space="preserve">For Azure Functions incidents, the most common performance-related support cases are likely to involve cold start latency complaints, particularly from customers running latency-sensitive applications on the Consumption Plan. Cloud support engineers should be equipped to diagnose cold start events, explain their root cause, and recommend mitigation strategies such as upgrading to the Premium Plan, implementing pre-warmed instances, or optimising function code to reduce initialisation time. The findings of this dissertation provide the technical grounding necessary to support these conversations.</w:t>
      </w:r>
    </w:p>
    <w:p>
      <w:pPr>
        <w:spacing w:after="200" w:line="360"/>
        <w:jc w:val="both"/>
      </w:pPr>
      <w:r>
        <w:rPr>
          <w:rFonts w:ascii="Arial" w:cs="Arial" w:eastAsia="Arial" w:hAnsi="Arial"/>
          <w:sz w:val="24"/>
          <w:szCs w:val="24"/>
        </w:rPr>
        <w:t xml:space="preserve">For AKS incidents, the most common performance-related support cases are likely to involve pod scheduling failures, node provisioning delays, and misconfigured autoscaling behaviour. The finding that a significant proportion of production AKS deployments lack properly configured liveness probes and replica settings suggests that misconfiguration is a leading cause of AKS reliability incidents, rather than platform failures. Cloud support engineers should therefore approach AKS reliability incidents with a configuration-first diagnostic mindset before escalating to platform-level investigations.</w:t>
      </w:r>
    </w:p>
    <w:p>
      <w:pPr>
        <w:pStyle w:val="Heading2"/>
      </w:pPr>
      <w:r>
        <w:rPr>
          <w:rFonts w:ascii="Arial" w:cs="Arial" w:eastAsia="Arial" w:hAnsi="Arial"/>
          <w:b/>
          <w:bCs/>
          <w:sz w:val="28"/>
          <w:szCs w:val="28"/>
        </w:rPr>
        <w:t xml:space="preserve">5.4.2 Implications for Cloud Architects and Engineers</w:t>
      </w:r>
    </w:p>
    <w:p>
      <w:pPr>
        <w:spacing w:after="200" w:line="360"/>
        <w:jc w:val="both"/>
      </w:pPr>
      <w:r>
        <w:rPr>
          <w:rFonts w:ascii="Arial" w:cs="Arial" w:eastAsia="Arial" w:hAnsi="Arial"/>
          <w:sz w:val="24"/>
          <w:szCs w:val="24"/>
        </w:rPr>
        <w:t xml:space="preserve">For cloud architects and engineers, the findings of this dissertation provide an evidence-based framework for selecting between Azure Functions and AKS for new workloads or migration projects within the Azure ecosystem. The workload-dependency of cost efficiency identified in this study suggests that a hybrid architectural approach, deploying event-driven, sporadic workloads on Azure Functions and sustained, latency-sensitive microservices on AKS within the same Azure environment, may offer the optimal balance of cost, performance, scalability, and reliability for complex enterprise applications.</w:t>
      </w:r>
    </w:p>
    <w:p>
      <w:pPr>
        <w:spacing w:after="200" w:line="360"/>
        <w:jc w:val="both"/>
      </w:pPr>
      <w:r>
        <w:rPr>
          <w:rFonts w:ascii="Arial" w:cs="Arial" w:eastAsia="Arial" w:hAnsi="Arial"/>
          <w:sz w:val="24"/>
          <w:szCs w:val="24"/>
        </w:rPr>
        <w:t xml:space="preserve">This hybrid approach is facilitated by Azure's native service integration, which allows Azure Functions and AKS workloads to share networking, identity, storage, and monitoring infrastructure through Azure Virtual Networks, Azure Active Directory, Azure Storage, and Azure Monitor respectively. The within-Azure scope of this dissertation is therefore not merely a methodological constraint but a reflection of the real-world architectural reality in which these two services are increasingly deployed together rather than in isolation.</w:t>
      </w:r>
    </w:p>
    <w:p>
      <w:pPr>
        <w:pStyle w:val="Heading2"/>
      </w:pPr>
      <w:r>
        <w:rPr>
          <w:rFonts w:ascii="Arial" w:cs="Arial" w:eastAsia="Arial" w:hAnsi="Arial"/>
          <w:b/>
          <w:bCs/>
          <w:sz w:val="28"/>
          <w:szCs w:val="28"/>
        </w:rPr>
        <w:t xml:space="preserve">5.4.3 Career Relevance</w:t>
      </w:r>
    </w:p>
    <w:p>
      <w:pPr>
        <w:spacing w:after="200" w:line="360"/>
        <w:jc w:val="both"/>
      </w:pPr>
      <w:r>
        <w:rPr>
          <w:rFonts w:ascii="Arial" w:cs="Arial" w:eastAsia="Arial" w:hAnsi="Arial"/>
          <w:sz w:val="24"/>
          <w:szCs w:val="24"/>
        </w:rPr>
        <w:t xml:space="preserve">From a career development perspective, the technical knowledge developed through this dissertation is directly applicable to cloud support, cloud engineering, and solutions architecture roles within Azure-centric organisations. The ability to articulate the cost, performance, scalability, and reliability trade-offs between serverless and container-based architectures is a competency assessed in cloud certification examinations including the Microsoft Azure Administrator (AZ-104), Azure Developer (AZ-204), and Azure Solutions Architect Expert (AZ-305) certifications, as well as in technical interviews for cloud engineering roles. This dissertation therefore serves not only as an academic contribution but as a foundation for professional development in the cloud computing field.</w:t>
      </w:r>
    </w:p>
    <w:p>
      <w:r>
        <w:t xml:space="preserve"/>
      </w:r>
    </w:p>
    <w:p>
      <w:pPr>
        <w:pStyle w:val="Heading1"/>
      </w:pPr>
      <w:r>
        <w:rPr>
          <w:rFonts w:ascii="Arial" w:cs="Arial" w:eastAsia="Arial" w:hAnsi="Arial"/>
          <w:b/>
          <w:bCs/>
          <w:sz w:val="32"/>
          <w:szCs w:val="32"/>
        </w:rPr>
        <w:t xml:space="preserve">5.5 Theoretical Contribution of This Study</w:t>
      </w:r>
    </w:p>
    <w:p>
      <w:pPr>
        <w:spacing w:after="200" w:line="360"/>
        <w:jc w:val="both"/>
      </w:pPr>
      <w:r>
        <w:rPr>
          <w:rFonts w:ascii="Arial" w:cs="Arial" w:eastAsia="Arial" w:hAnsi="Arial"/>
          <w:sz w:val="24"/>
          <w:szCs w:val="24"/>
        </w:rPr>
        <w:t xml:space="preserve">This dissertation makes two principal theoretical contributions to the existing body of knowledge on cloud computing.</w:t>
      </w:r>
    </w:p>
    <w:p>
      <w:pPr>
        <w:spacing w:after="200" w:line="360"/>
        <w:jc w:val="both"/>
      </w:pPr>
      <w:r>
        <w:rPr>
          <w:rFonts w:ascii="Arial" w:cs="Arial" w:eastAsia="Arial" w:hAnsi="Arial"/>
          <w:sz w:val="24"/>
          <w:szCs w:val="24"/>
        </w:rPr>
        <w:t xml:space="preserve">First, it addresses the research gap identified in the literature review by providing the first systematic, controlled comparative analysis of serverless and container-based architectures exclusively within the Microsoft Azure ecosystem. By eliminating cross-platform variability, this study provides a more methodologically rigorous basis for comparing the two architectures than the cross-platform studies that dominate the existing literature. The analytical framework developed in this dissertation, comprising four parameters evaluated through a within-platform secondary data analysis design, can serve as a methodological template for similar within-platform comparative studies on other cloud providers.</w:t>
      </w:r>
    </w:p>
    <w:p>
      <w:pPr>
        <w:spacing w:after="200" w:line="360"/>
        <w:jc w:val="both"/>
      </w:pPr>
      <w:r>
        <w:rPr>
          <w:rFonts w:ascii="Arial" w:cs="Arial" w:eastAsia="Arial" w:hAnsi="Arial"/>
          <w:sz w:val="24"/>
          <w:szCs w:val="24"/>
        </w:rPr>
        <w:t xml:space="preserve">Second, the identification of AKS node provisioning lag as a scale-out latency mechanism analogous in effect to serverless cold starts contributes a novel analytical perspective to the performance comparison literature. This parallel has not been prominently drawn in the existing comparative literature, and its articulation in this dissertation provides a more balanced and complete picture of the performance trade-offs between serverless and container-based architectures than has previously been available.</w:t>
      </w:r>
    </w:p>
    <w:p>
      <w:r>
        <w:t xml:space="preserve"/>
      </w:r>
    </w:p>
    <w:p>
      <w:pPr>
        <w:pStyle w:val="Heading1"/>
      </w:pPr>
      <w:r>
        <w:rPr>
          <w:rFonts w:ascii="Arial" w:cs="Arial" w:eastAsia="Arial" w:hAnsi="Arial"/>
          <w:b/>
          <w:bCs/>
          <w:sz w:val="32"/>
          <w:szCs w:val="32"/>
        </w:rPr>
        <w:t xml:space="preserve">5.6 Reflection on Study Limitations</w:t>
      </w:r>
    </w:p>
    <w:p>
      <w:pPr>
        <w:spacing w:after="200" w:line="360"/>
        <w:jc w:val="both"/>
      </w:pPr>
      <w:r>
        <w:rPr>
          <w:rFonts w:ascii="Arial" w:cs="Arial" w:eastAsia="Arial" w:hAnsi="Arial"/>
          <w:sz w:val="24"/>
          <w:szCs w:val="24"/>
        </w:rPr>
        <w:t xml:space="preserve">Several limitations of this study warrant acknowledgement in the context of interpreting and generalising the findings.</w:t>
      </w:r>
    </w:p>
    <w:p>
      <w:pPr>
        <w:spacing w:after="200" w:line="360"/>
        <w:jc w:val="both"/>
      </w:pPr>
      <w:r>
        <w:rPr>
          <w:rFonts w:ascii="Arial" w:cs="Arial" w:eastAsia="Arial" w:hAnsi="Arial"/>
          <w:sz w:val="24"/>
          <w:szCs w:val="24"/>
        </w:rPr>
        <w:t xml:space="preserve">First, the reliance on secondary data means that the findings are bounded by the scope and recency of the existing literature and documentation. Where primary empirical data from controlled Azure experiments would provide the most precise and current performance and cost figures, this study relies on published benchmarks and documentation that may not fully reflect the current state of Azure Functions and AKS, both of which are actively developed services subject to frequent updates and pricing changes.</w:t>
      </w:r>
    </w:p>
    <w:p>
      <w:pPr>
        <w:spacing w:after="200" w:line="360"/>
        <w:jc w:val="both"/>
      </w:pPr>
      <w:r>
        <w:rPr>
          <w:rFonts w:ascii="Arial" w:cs="Arial" w:eastAsia="Arial" w:hAnsi="Arial"/>
          <w:sz w:val="24"/>
          <w:szCs w:val="24"/>
        </w:rPr>
        <w:t xml:space="preserve">Second, the within-Azure scope of the study, while methodologically justified, limits the generalisability of the findings to Azure-centric environments. Organisations operating in multi-cloud or AWS-primary environments may find the findings less directly applicable, though the analytical framework and the identified trade-offs are likely to hold broadly across cloud providers.</w:t>
      </w:r>
    </w:p>
    <w:p>
      <w:pPr>
        <w:spacing w:after="200" w:line="360"/>
        <w:jc w:val="both"/>
      </w:pPr>
      <w:r>
        <w:rPr>
          <w:rFonts w:ascii="Arial" w:cs="Arial" w:eastAsia="Arial" w:hAnsi="Arial"/>
          <w:sz w:val="24"/>
          <w:szCs w:val="24"/>
        </w:rPr>
        <w:t xml:space="preserve">Third, the study does not account for the human factors associated with each architecture, including the learning curve and operational overhead associated with Kubernetes expertise for AKS, or the development model constraints of the serverless paradigm for Azure Functions. These factors can significantly influence architectural decisions in practice and represent an area for future research.</w:t>
      </w:r>
    </w:p>
    <w:p>
      <w:r>
        <w:t xml:space="preserve"/>
      </w:r>
    </w:p>
    <w:p>
      <w:pPr>
        <w:pStyle w:val="Heading1"/>
      </w:pPr>
      <w:r>
        <w:rPr>
          <w:rFonts w:ascii="Arial" w:cs="Arial" w:eastAsia="Arial" w:hAnsi="Arial"/>
          <w:b/>
          <w:bCs/>
          <w:sz w:val="32"/>
          <w:szCs w:val="32"/>
        </w:rPr>
        <w:t xml:space="preserve">5.7 Summary</w:t>
      </w:r>
    </w:p>
    <w:p>
      <w:pPr>
        <w:spacing w:after="200" w:line="360"/>
        <w:jc w:val="both"/>
      </w:pPr>
      <w:r>
        <w:rPr>
          <w:rFonts w:ascii="Arial" w:cs="Arial" w:eastAsia="Arial" w:hAnsi="Arial"/>
          <w:sz w:val="24"/>
          <w:szCs w:val="24"/>
        </w:rPr>
        <w:t xml:space="preserve">This chapter has critically discussed the findings of Chapter 4 in the context of the existing literature, the research questions, and the practical implications for cloud practitioners. The findings are broadly consistent with the existing literature on serverless and container-based architectures, while contributing Azure-specific insights that extend beyond the cross-platform comparisons that dominate the current body of knowledge. The discussion has demonstrated that the choice between Azure Functions and AKS is not a binary one but a nuanced architectural decision that must be grounded in workload-specific evidence and organisational context. Chapter 6 presents the conclusions of this dissertation, summarises its contributions, and identifies directions for future research.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8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2026-05-17T06:38:03.442Z</dcterms:created>
  <dcterms:modified xsi:type="dcterms:W3CDTF">2026-05-17T06:38:03.459Z</dcterms:modified>
</cp:coreProperties>
</file>

<file path=docProps/custom.xml><?xml version="1.0" encoding="utf-8"?>
<Properties xmlns="http://schemas.openxmlformats.org/officeDocument/2006/custom-properties" xmlns:vt="http://schemas.openxmlformats.org/officeDocument/2006/docPropsVTypes"/>
</file>