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28"/>
          <w:szCs w:val="28"/>
        </w:rPr>
        <w:t xml:space="preserve">CHAPTER 6</w:t>
      </w:r>
    </w:p>
    <w:p>
      <w:pPr>
        <w:spacing w:after="480"/>
        <w:jc w:val="center"/>
      </w:pPr>
      <w:r>
        <w:rPr>
          <w:rFonts w:ascii="Arial" w:cs="Arial" w:eastAsia="Arial" w:hAnsi="Arial"/>
          <w:b/>
          <w:bCs/>
          <w:color w:val="1F3864"/>
          <w:sz w:val="32"/>
          <w:szCs w:val="32"/>
        </w:rPr>
        <w:t xml:space="preserve">CONCLUSION AND FUTURE WORK</w:t>
      </w:r>
    </w:p>
    <w:p>
      <w:pPr>
        <w:pStyle w:val="Heading1"/>
      </w:pPr>
      <w:r>
        <w:rPr>
          <w:rFonts w:ascii="Arial" w:cs="Arial" w:eastAsia="Arial" w:hAnsi="Arial"/>
          <w:b/>
          <w:bCs/>
          <w:sz w:val="32"/>
          <w:szCs w:val="32"/>
        </w:rPr>
        <w:t xml:space="preserve">6.1 Introduction</w:t>
      </w:r>
    </w:p>
    <w:p>
      <w:pPr>
        <w:spacing w:after="200" w:line="360"/>
        <w:jc w:val="both"/>
      </w:pPr>
      <w:r>
        <w:rPr>
          <w:rFonts w:ascii="Arial" w:cs="Arial" w:eastAsia="Arial" w:hAnsi="Arial"/>
          <w:sz w:val="24"/>
          <w:szCs w:val="24"/>
        </w:rPr>
        <w:t xml:space="preserve">This chapter brings the dissertation to a close by summarising the key conclusions drawn from the comparative analysis and discussion, reflecting on the extent to which the research aim and objectives have been achieved, articulating the original contributions of this study to the academic and professional literature, and identifying directions for future research that build on the findings of this dissertation.</w:t>
      </w:r>
    </w:p>
    <w:p>
      <w:r>
        <w:t xml:space="preserve"/>
      </w:r>
    </w:p>
    <w:p>
      <w:pPr>
        <w:pStyle w:val="Heading1"/>
      </w:pPr>
      <w:r>
        <w:rPr>
          <w:rFonts w:ascii="Arial" w:cs="Arial" w:eastAsia="Arial" w:hAnsi="Arial"/>
          <w:b/>
          <w:bCs/>
          <w:sz w:val="32"/>
          <w:szCs w:val="32"/>
        </w:rPr>
        <w:t xml:space="preserve">6.2 Summary of the Study</w:t>
      </w:r>
    </w:p>
    <w:p>
      <w:pPr>
        <w:spacing w:after="200" w:line="360"/>
        <w:jc w:val="both"/>
      </w:pPr>
      <w:r>
        <w:rPr>
          <w:rFonts w:ascii="Arial" w:cs="Arial" w:eastAsia="Arial" w:hAnsi="Arial"/>
          <w:sz w:val="24"/>
          <w:szCs w:val="24"/>
        </w:rPr>
        <w:t xml:space="preserve">This dissertation set out to address a clearly identified gap in the existing literature: the absence of a controlled, systematic comparative analysis of serverless computing and container-based architecture exclusively within the Microsoft Azure ecosystem. The majority of existing research in this area adopts a cross-platform methodology, comparing services across AWS, GCP, and Azure simultaneously, which introduces confounding variables that limit the precision and practical utility of its findings for Azure-centric environments.</w:t>
      </w:r>
    </w:p>
    <w:p>
      <w:pPr>
        <w:spacing w:after="200" w:line="360"/>
        <w:jc w:val="both"/>
      </w:pPr>
      <w:r>
        <w:rPr>
          <w:rFonts w:ascii="Arial" w:cs="Arial" w:eastAsia="Arial" w:hAnsi="Arial"/>
          <w:sz w:val="24"/>
          <w:szCs w:val="24"/>
        </w:rPr>
        <w:t xml:space="preserve">To address this gap, this dissertation conducted a systematic secondary data analysis comparing Azure Functions (serverless) and Azure Kubernetes Service (AKS) (container-based) across four parameters: cost, performance, scalability, and reliability. The analysis was grounded in peer-reviewed research from IEEE, ACM, and Springer, official Microsoft Azure documentation, and published technical benchmarks, all constrained to the Azure ecosystem to maintain methodological rigour.</w:t>
      </w:r>
    </w:p>
    <w:p>
      <w:pPr>
        <w:spacing w:after="200" w:line="360"/>
        <w:jc w:val="both"/>
      </w:pPr>
      <w:r>
        <w:rPr>
          <w:rFonts w:ascii="Arial" w:cs="Arial" w:eastAsia="Arial" w:hAnsi="Arial"/>
          <w:sz w:val="24"/>
          <w:szCs w:val="24"/>
        </w:rPr>
        <w:t xml:space="preserve">The study was guided by a positivist, deductive research philosophy and adopted a comparative secondary data analysis design, which is a well-established and academically valid methodology for Master's level research in computer science and information technology. The analytical framework developed in Chapter 3 structured the comparison around four clearly defined parameters with specific, measurable metrics, ensuring consistency and transparency throughout the analysis.</w:t>
      </w:r>
    </w:p>
    <w:p>
      <w:r>
        <w:t xml:space="preserve"/>
      </w:r>
    </w:p>
    <w:p>
      <w:pPr>
        <w:pStyle w:val="Heading1"/>
      </w:pPr>
      <w:r>
        <w:rPr>
          <w:rFonts w:ascii="Arial" w:cs="Arial" w:eastAsia="Arial" w:hAnsi="Arial"/>
          <w:b/>
          <w:bCs/>
          <w:sz w:val="32"/>
          <w:szCs w:val="32"/>
        </w:rPr>
        <w:t xml:space="preserve">6.3 Achievement of Research Objectives</w:t>
      </w:r>
    </w:p>
    <w:p>
      <w:pPr>
        <w:spacing w:after="200" w:line="360"/>
        <w:jc w:val="both"/>
      </w:pPr>
      <w:r>
        <w:rPr>
          <w:rFonts w:ascii="Arial" w:cs="Arial" w:eastAsia="Arial" w:hAnsi="Arial"/>
          <w:sz w:val="24"/>
          <w:szCs w:val="24"/>
        </w:rPr>
        <w:t xml:space="preserve">This section reviews the five research objectives established in Chapter 1 and assesses the extent to which each has been achieved.</w:t>
      </w:r>
    </w:p>
    <w:p>
      <w:pPr>
        <w:pStyle w:val="Heading2"/>
      </w:pPr>
      <w:r>
        <w:rPr>
          <w:rFonts w:ascii="Arial" w:cs="Arial" w:eastAsia="Arial" w:hAnsi="Arial"/>
          <w:b/>
          <w:bCs/>
          <w:sz w:val="28"/>
          <w:szCs w:val="28"/>
        </w:rPr>
        <w:t xml:space="preserve">Objective 1: Review and critically evaluate existing literature</w:t>
      </w:r>
    </w:p>
    <w:p>
      <w:pPr>
        <w:spacing w:after="200" w:line="360"/>
        <w:jc w:val="both"/>
      </w:pPr>
      <w:r>
        <w:rPr>
          <w:rFonts w:ascii="Arial" w:cs="Arial" w:eastAsia="Arial" w:hAnsi="Arial"/>
          <w:sz w:val="24"/>
          <w:szCs w:val="24"/>
        </w:rPr>
        <w:t xml:space="preserve">Achieved. Chapter 2 presented a comprehensive and critical review of the existing literature on serverless computing, container-based architectures, and their comparative evaluations, drawing on peer-reviewed sources from IEEE, ACM, Springer, and Microsoft Research. The review identified key findings from seminal works including Golec et al. (2024), Shahrad et al. (2020), Mampage et al. (2022), McGrath and Brenner (2017), and Hamza et al. (2024), and synthesised them into a coherent narrative that established the theoretical foundation for the study.</w:t>
      </w:r>
    </w:p>
    <w:p>
      <w:pPr>
        <w:pStyle w:val="Heading2"/>
      </w:pPr>
      <w:r>
        <w:rPr>
          <w:rFonts w:ascii="Arial" w:cs="Arial" w:eastAsia="Arial" w:hAnsi="Arial"/>
          <w:b/>
          <w:bCs/>
          <w:sz w:val="28"/>
          <w:szCs w:val="28"/>
        </w:rPr>
        <w:t xml:space="preserve">Objective 2: Identify the research gap</w:t>
      </w:r>
    </w:p>
    <w:p>
      <w:pPr>
        <w:spacing w:after="200" w:line="360"/>
        <w:jc w:val="both"/>
      </w:pPr>
      <w:r>
        <w:rPr>
          <w:rFonts w:ascii="Arial" w:cs="Arial" w:eastAsia="Arial" w:hAnsi="Arial"/>
          <w:sz w:val="24"/>
          <w:szCs w:val="24"/>
        </w:rPr>
        <w:t xml:space="preserve">Achieved. The literature review conclusively demonstrated that existing comparative studies adopt cross-platform methodologies that introduce confounding variables, and that no prior study has conducted a controlled, within-Azure comparison of serverless and container-based architectures. This gap was clearly articulated in Section 2.7 and forms the primary motivation and justification for this dissertation.</w:t>
      </w:r>
    </w:p>
    <w:p>
      <w:pPr>
        <w:pStyle w:val="Heading2"/>
      </w:pPr>
      <w:r>
        <w:rPr>
          <w:rFonts w:ascii="Arial" w:cs="Arial" w:eastAsia="Arial" w:hAnsi="Arial"/>
          <w:b/>
          <w:bCs/>
          <w:sz w:val="28"/>
          <w:szCs w:val="28"/>
        </w:rPr>
        <w:t xml:space="preserve">Objective 3: Design a systematic analytical framework</w:t>
      </w:r>
    </w:p>
    <w:p>
      <w:pPr>
        <w:spacing w:after="200" w:line="360"/>
        <w:jc w:val="both"/>
      </w:pPr>
      <w:r>
        <w:rPr>
          <w:rFonts w:ascii="Arial" w:cs="Arial" w:eastAsia="Arial" w:hAnsi="Arial"/>
          <w:sz w:val="24"/>
          <w:szCs w:val="24"/>
        </w:rPr>
        <w:t xml:space="preserve">Achieved. Chapter 3 presented a clearly structured analytical framework comprising four comparison parameters — cost, performance, scalability, and reliability — each operationalised with specific metrics and data points. The framework was applied consistently throughout the comparative analysis in Chapter 4 and provided a rigorous and transparent basis for the findings.</w:t>
      </w:r>
    </w:p>
    <w:p>
      <w:pPr>
        <w:pStyle w:val="Heading2"/>
      </w:pPr>
      <w:r>
        <w:rPr>
          <w:rFonts w:ascii="Arial" w:cs="Arial" w:eastAsia="Arial" w:hAnsi="Arial"/>
          <w:b/>
          <w:bCs/>
          <w:sz w:val="28"/>
          <w:szCs w:val="28"/>
        </w:rPr>
        <w:t xml:space="preserve">Objective 4: Conduct a rigorous comparative analysis</w:t>
      </w:r>
    </w:p>
    <w:p>
      <w:pPr>
        <w:spacing w:after="200" w:line="360"/>
        <w:jc w:val="both"/>
      </w:pPr>
      <w:r>
        <w:rPr>
          <w:rFonts w:ascii="Arial" w:cs="Arial" w:eastAsia="Arial" w:hAnsi="Arial"/>
          <w:sz w:val="24"/>
          <w:szCs w:val="24"/>
        </w:rPr>
        <w:t xml:space="preserve">Achieved. Chapter 4 presented a detailed, evidence-based comparative analysis of Azure Functions and AKS across all four parameters, synthesising data from peer-reviewed research and official Azure documentation within a controlled, Azure-only context. The analysis produced five structured comparison tables and four clearly articulated key findings that directly address the research questions.</w:t>
      </w:r>
    </w:p>
    <w:p>
      <w:pPr>
        <w:pStyle w:val="Heading2"/>
      </w:pPr>
      <w:r>
        <w:rPr>
          <w:rFonts w:ascii="Arial" w:cs="Arial" w:eastAsia="Arial" w:hAnsi="Arial"/>
          <w:b/>
          <w:bCs/>
          <w:sz w:val="28"/>
          <w:szCs w:val="28"/>
        </w:rPr>
        <w:t xml:space="preserve">Objective 5: Derive evidence-based conclusions and recommendations</w:t>
      </w:r>
    </w:p>
    <w:p>
      <w:pPr>
        <w:spacing w:after="200" w:line="360"/>
        <w:jc w:val="both"/>
      </w:pPr>
      <w:r>
        <w:rPr>
          <w:rFonts w:ascii="Arial" w:cs="Arial" w:eastAsia="Arial" w:hAnsi="Arial"/>
          <w:sz w:val="24"/>
          <w:szCs w:val="24"/>
        </w:rPr>
        <w:t xml:space="preserve">Achieved. Chapter 5 interpreted the findings in the context of the existing literature and the research questions, and Chapter 6 (this chapter) presents evidence-based conclusions and practical recommendations for cloud practitioners. The conclusions are grounded in the empirical evidence synthesised in Chapter 4 and the critical analysis presented in Chapter 5.</w:t>
      </w:r>
    </w:p>
    <w:p>
      <w:r>
        <w:t xml:space="preserve"/>
      </w:r>
    </w:p>
    <w:p>
      <w:pPr>
        <w:pStyle w:val="Heading1"/>
      </w:pPr>
      <w:r>
        <w:rPr>
          <w:rFonts w:ascii="Arial" w:cs="Arial" w:eastAsia="Arial" w:hAnsi="Arial"/>
          <w:b/>
          <w:bCs/>
          <w:sz w:val="32"/>
          <w:szCs w:val="32"/>
        </w:rPr>
        <w:t xml:space="preserve">6.4 Key Conclusions</w:t>
      </w:r>
    </w:p>
    <w:p>
      <w:pPr>
        <w:spacing w:after="200" w:line="360"/>
        <w:jc w:val="both"/>
      </w:pPr>
      <w:r>
        <w:rPr>
          <w:rFonts w:ascii="Arial" w:cs="Arial" w:eastAsia="Arial" w:hAnsi="Arial"/>
          <w:sz w:val="24"/>
          <w:szCs w:val="24"/>
        </w:rPr>
        <w:t xml:space="preserve">The following key conclusions are drawn from the comparative analysis and discussion presented in this dissertation.</w:t>
      </w:r>
    </w:p>
    <w:p>
      <w:pPr>
        <w:pStyle w:val="Heading2"/>
      </w:pPr>
      <w:r>
        <w:rPr>
          <w:rFonts w:ascii="Arial" w:cs="Arial" w:eastAsia="Arial" w:hAnsi="Arial"/>
          <w:b/>
          <w:bCs/>
          <w:sz w:val="28"/>
          <w:szCs w:val="28"/>
        </w:rPr>
        <w:t xml:space="preserve">Conclusion 1: There is no universally superior architecture</w:t>
      </w:r>
    </w:p>
    <w:p>
      <w:pPr>
        <w:spacing w:after="200" w:line="360"/>
        <w:jc w:val="both"/>
      </w:pPr>
      <w:r>
        <w:rPr>
          <w:rFonts w:ascii="Arial" w:cs="Arial" w:eastAsia="Arial" w:hAnsi="Arial"/>
          <w:sz w:val="24"/>
          <w:szCs w:val="24"/>
        </w:rPr>
        <w:t xml:space="preserve">The most important conclusion of this dissertation is that neither Azure Functions nor AKS is universally superior across all four parameters. The architectural choice is fundamentally workload-dependent, and organisations that approach this decision with a binary mindset — favouring one paradigm unconditionally — risk suboptimal outcomes in terms of cost, performance, or operational complexity. An evidence-based, workload-specific evaluation is essential for sound architectural decision-making within Azure-centric environments.</w:t>
      </w:r>
    </w:p>
    <w:p>
      <w:pPr>
        <w:pStyle w:val="Heading2"/>
      </w:pPr>
      <w:r>
        <w:rPr>
          <w:rFonts w:ascii="Arial" w:cs="Arial" w:eastAsia="Arial" w:hAnsi="Arial"/>
          <w:b/>
          <w:bCs/>
          <w:sz w:val="28"/>
          <w:szCs w:val="28"/>
        </w:rPr>
        <w:t xml:space="preserve">Conclusion 2: Azure Functions is cost-optimal for sporadic and event-driven workloads</w:t>
      </w:r>
    </w:p>
    <w:p>
      <w:pPr>
        <w:spacing w:after="200" w:line="360"/>
        <w:jc w:val="both"/>
      </w:pPr>
      <w:r>
        <w:rPr>
          <w:rFonts w:ascii="Arial" w:cs="Arial" w:eastAsia="Arial" w:hAnsi="Arial"/>
          <w:sz w:val="24"/>
          <w:szCs w:val="24"/>
        </w:rPr>
        <w:t xml:space="preserve">Azure Functions' pay-per-execution billing model and native scale-to-zero capability make it significantly more cost-effective than AKS for workloads characterised by low invocation frequency, unpredictable traffic patterns, or substantial idle periods. For organisations with such workload profiles, the serverless model eliminates the continuous node costs inherent in AKS and provides automatic, cost-aligned scalability without operational overhead.</w:t>
      </w:r>
    </w:p>
    <w:p>
      <w:pPr>
        <w:pStyle w:val="Heading2"/>
      </w:pPr>
      <w:r>
        <w:rPr>
          <w:rFonts w:ascii="Arial" w:cs="Arial" w:eastAsia="Arial" w:hAnsi="Arial"/>
          <w:b/>
          <w:bCs/>
          <w:sz w:val="28"/>
          <w:szCs w:val="28"/>
        </w:rPr>
        <w:t xml:space="preserve">Conclusion 3: AKS is performance-optimal for latency-sensitive and sustained workloads</w:t>
      </w:r>
    </w:p>
    <w:p>
      <w:pPr>
        <w:spacing w:after="200" w:line="360"/>
        <w:jc w:val="both"/>
      </w:pPr>
      <w:r>
        <w:rPr>
          <w:rFonts w:ascii="Arial" w:cs="Arial" w:eastAsia="Arial" w:hAnsi="Arial"/>
          <w:sz w:val="24"/>
          <w:szCs w:val="24"/>
        </w:rPr>
        <w:t xml:space="preserve">AKS provides a more consistent and predictable performance profile than Azure Functions under the Consumption Plan due to the absence of cold start latency. For enterprise workloads with strict response time SLAs or high-frequency, sustained traffic patterns, AKS is the more appropriate choice within the Azure ecosystem. The performance advantages of AKS must, however, be weighed against its higher baseline cost and greater operational complexity.</w:t>
      </w:r>
    </w:p>
    <w:p>
      <w:pPr>
        <w:pStyle w:val="Heading2"/>
      </w:pPr>
      <w:r>
        <w:rPr>
          <w:rFonts w:ascii="Arial" w:cs="Arial" w:eastAsia="Arial" w:hAnsi="Arial"/>
          <w:b/>
          <w:bCs/>
          <w:sz w:val="28"/>
          <w:szCs w:val="28"/>
        </w:rPr>
        <w:t xml:space="preserve">Conclusion 4: Scalability strengths are complementary rather than competing</w:t>
      </w:r>
    </w:p>
    <w:p>
      <w:pPr>
        <w:spacing w:after="200" w:line="360"/>
        <w:jc w:val="both"/>
      </w:pPr>
      <w:r>
        <w:rPr>
          <w:rFonts w:ascii="Arial" w:cs="Arial" w:eastAsia="Arial" w:hAnsi="Arial"/>
          <w:sz w:val="24"/>
          <w:szCs w:val="24"/>
        </w:rPr>
        <w:t xml:space="preserve">Azure Functions and AKS exhibit complementary rather than competing scalability strengths. Azure Functions excels at rapid, automatic scale-out for burst and intermittent traffic, while AKS provides greater scalability depth for large-scale, sustained workloads. This complementarity suggests that a hybrid architectural approach, deploying different workload types on the most appropriate platform within the same Azure environment, may represent the optimal architectural strategy for complex enterprise applications.</w:t>
      </w:r>
    </w:p>
    <w:p>
      <w:pPr>
        <w:pStyle w:val="Heading2"/>
      </w:pPr>
      <w:r>
        <w:rPr>
          <w:rFonts w:ascii="Arial" w:cs="Arial" w:eastAsia="Arial" w:hAnsi="Arial"/>
          <w:b/>
          <w:bCs/>
          <w:sz w:val="28"/>
          <w:szCs w:val="28"/>
        </w:rPr>
        <w:t xml:space="preserve">Conclusion 5: Reliability is operationally contingent for AKS</w:t>
      </w:r>
    </w:p>
    <w:p>
      <w:pPr>
        <w:spacing w:after="200" w:line="360"/>
        <w:jc w:val="both"/>
      </w:pPr>
      <w:r>
        <w:rPr>
          <w:rFonts w:ascii="Arial" w:cs="Arial" w:eastAsia="Arial" w:hAnsi="Arial"/>
          <w:sz w:val="24"/>
          <w:szCs w:val="24"/>
        </w:rPr>
        <w:t xml:space="preserve">While both architectures can achieve equivalent SLA levels on Azure, the reliability of AKS is operationally contingent on correct Kubernetes configuration, including liveness probes, replica settings, pod disruption budgets, and multi-zone deployment. Azure Functions achieves equivalent reliability through full platform management by Microsoft, with minimal operator configuration required. For organisations with limited Kubernetes expertise, Azure Functions may deliver more consistent reliability outcomes in practice, despite AKS's theoretically superior configurability.</w:t>
      </w:r>
    </w:p>
    <w:p>
      <w:r>
        <w:t xml:space="preserve"/>
      </w:r>
    </w:p>
    <w:p>
      <w:pPr>
        <w:pStyle w:val="Heading1"/>
      </w:pPr>
      <w:r>
        <w:rPr>
          <w:rFonts w:ascii="Arial" w:cs="Arial" w:eastAsia="Arial" w:hAnsi="Arial"/>
          <w:b/>
          <w:bCs/>
          <w:sz w:val="32"/>
          <w:szCs w:val="32"/>
        </w:rPr>
        <w:t xml:space="preserve">6.5 Original Contributions of This Dissertation</w:t>
      </w:r>
    </w:p>
    <w:p>
      <w:pPr>
        <w:spacing w:after="200" w:line="360"/>
        <w:jc w:val="both"/>
      </w:pPr>
      <w:r>
        <w:rPr>
          <w:rFonts w:ascii="Arial" w:cs="Arial" w:eastAsia="Arial" w:hAnsi="Arial"/>
          <w:sz w:val="24"/>
          <w:szCs w:val="24"/>
        </w:rPr>
        <w:t xml:space="preserve">This dissertation makes the following original contributions to the academic and professional literature on cloud computing.</w:t>
      </w:r>
    </w:p>
    <w:p>
      <w:pPr>
        <w:spacing w:after="200" w:line="360"/>
        <w:jc w:val="both"/>
      </w:pPr>
      <w:r>
        <w:rPr>
          <w:rFonts w:ascii="Arial" w:cs="Arial" w:eastAsia="Arial" w:hAnsi="Arial"/>
          <w:sz w:val="24"/>
          <w:szCs w:val="24"/>
        </w:rPr>
        <w:t xml:space="preserve">Contribution 1 — Within-Azure Comparative Framework: This dissertation provides the first systematic, controlled comparative analysis of serverless (Azure Functions) and container-based (AKS) architectures exclusively within the Microsoft Azure ecosystem. The analytical framework developed in this study, comprising four parameters evaluated through a within-platform secondary data analysis design, represents a methodological contribution that can be replicated and extended by future researchers conducting similar within-platform comparisons on other cloud providers.</w:t>
      </w:r>
    </w:p>
    <w:p>
      <w:pPr>
        <w:spacing w:after="200" w:line="360"/>
        <w:jc w:val="both"/>
      </w:pPr>
      <w:r>
        <w:rPr>
          <w:rFonts w:ascii="Arial" w:cs="Arial" w:eastAsia="Arial" w:hAnsi="Arial"/>
          <w:sz w:val="24"/>
          <w:szCs w:val="24"/>
        </w:rPr>
        <w:t xml:space="preserve">Contribution 2 — Balanced Performance Analysis: By identifying AKS node provisioning lag as a scale-out latency mechanism analogous in effect to serverless cold starts, this dissertation contributes a more balanced and complete performance analysis than is available in the existing comparative literature, which tends to position containers as unconditionally superior in performance without equally scrutinising their own latency limitations.</w:t>
      </w:r>
    </w:p>
    <w:p>
      <w:pPr>
        <w:spacing w:after="200" w:line="360"/>
        <w:jc w:val="both"/>
      </w:pPr>
      <w:r>
        <w:rPr>
          <w:rFonts w:ascii="Arial" w:cs="Arial" w:eastAsia="Arial" w:hAnsi="Arial"/>
          <w:sz w:val="24"/>
          <w:szCs w:val="24"/>
        </w:rPr>
        <w:t xml:space="preserve">Contribution 3 — Operational Reliability Perspective: By incorporating the operational contingency of AKS reliability, specifically the finding that a significant proportion of production Kubernetes deployments are misconfigured in ways that undermine their theoretical reliability potential, this dissertation contributes a practical, operations-oriented dimension to the reliability discussion that is underrepresented in the academic literature.</w:t>
      </w:r>
    </w:p>
    <w:p>
      <w:pPr>
        <w:spacing w:after="200" w:line="360"/>
        <w:jc w:val="both"/>
      </w:pPr>
      <w:r>
        <w:rPr>
          <w:rFonts w:ascii="Arial" w:cs="Arial" w:eastAsia="Arial" w:hAnsi="Arial"/>
          <w:sz w:val="24"/>
          <w:szCs w:val="24"/>
        </w:rPr>
        <w:t xml:space="preserve">Contribution 4 — Career-Relevant Technical Framework: This dissertation provides a structured, evidence-based framework for cloud practitioners to evaluate architectural trade-offs between serverless and container-based options within Azure, directly supporting the professional development of cloud support engineers, cloud engineers, and solutions architects operating in Azure-centric environments.</w:t>
      </w:r>
    </w:p>
    <w:p>
      <w:r>
        <w:t xml:space="preserve"/>
      </w:r>
    </w:p>
    <w:p>
      <w:pPr>
        <w:pStyle w:val="Heading1"/>
      </w:pPr>
      <w:r>
        <w:rPr>
          <w:rFonts w:ascii="Arial" w:cs="Arial" w:eastAsia="Arial" w:hAnsi="Arial"/>
          <w:b/>
          <w:bCs/>
          <w:sz w:val="32"/>
          <w:szCs w:val="32"/>
        </w:rPr>
        <w:t xml:space="preserve">6.6 Practical Recommendations</w:t>
      </w:r>
    </w:p>
    <w:p>
      <w:pPr>
        <w:spacing w:after="200" w:line="360"/>
        <w:jc w:val="both"/>
      </w:pPr>
      <w:r>
        <w:rPr>
          <w:rFonts w:ascii="Arial" w:cs="Arial" w:eastAsia="Arial" w:hAnsi="Arial"/>
          <w:sz w:val="24"/>
          <w:szCs w:val="24"/>
        </w:rPr>
        <w:t xml:space="preserve">Based on the conclusions of this dissertation, the following practical recommendations are offered to cloud practitioners and organisations operating within Microsoft Azure environments.</w:t>
      </w:r>
    </w:p>
    <w:p>
      <w:pPr>
        <w:spacing w:after="200" w:line="360"/>
        <w:jc w:val="both"/>
      </w:pPr>
      <w:r>
        <w:rPr>
          <w:rFonts w:ascii="Arial" w:cs="Arial" w:eastAsia="Arial" w:hAnsi="Arial"/>
          <w:sz w:val="24"/>
          <w:szCs w:val="24"/>
        </w:rPr>
        <w:t xml:space="preserve">Recommendation 1: Conduct workload profiling before selecting an architecture. Organisations should profile their workloads for invocation frequency, traffic pattern predictability, latency sensitivity, and expected duty cycle before selecting between Azure Functions and AKS. This profiling exercise will reveal which architecture is cost-optimal and performance-appropriate for each specific workload.</w:t>
      </w:r>
    </w:p>
    <w:p>
      <w:pPr>
        <w:spacing w:after="200" w:line="360"/>
        <w:jc w:val="both"/>
      </w:pPr>
      <w:r>
        <w:rPr>
          <w:rFonts w:ascii="Arial" w:cs="Arial" w:eastAsia="Arial" w:hAnsi="Arial"/>
          <w:sz w:val="24"/>
          <w:szCs w:val="24"/>
        </w:rPr>
        <w:t xml:space="preserve">Recommendation 2: Consider a hybrid architectural approach for complex applications. For enterprise applications comprising multiple workload types, a hybrid approach deploying event-driven and sporadic workloads on Azure Functions and sustained, latency-sensitive microservices on AKS within the same Azure environment is recommended. Azure's native service integration facilitates this approach without introducing cross-platform complexity.</w:t>
      </w:r>
    </w:p>
    <w:p>
      <w:pPr>
        <w:spacing w:after="200" w:line="360"/>
        <w:jc w:val="both"/>
      </w:pPr>
      <w:r>
        <w:rPr>
          <w:rFonts w:ascii="Arial" w:cs="Arial" w:eastAsia="Arial" w:hAnsi="Arial"/>
          <w:sz w:val="24"/>
          <w:szCs w:val="24"/>
        </w:rPr>
        <w:t xml:space="preserve">Recommendation 3: Upgrade Azure Functions to the Premium Plan for latency-sensitive workloads. Organisations requiring consistent, low-latency performance from Azure Functions should deploy on the Premium Plan with pre-warmed instances rather than the Consumption Plan, accepting the associated continuous cost in exchange for cold start elimination.</w:t>
      </w:r>
    </w:p>
    <w:p>
      <w:pPr>
        <w:spacing w:after="200" w:line="360"/>
        <w:jc w:val="both"/>
      </w:pPr>
      <w:r>
        <w:rPr>
          <w:rFonts w:ascii="Arial" w:cs="Arial" w:eastAsia="Arial" w:hAnsi="Arial"/>
          <w:sz w:val="24"/>
          <w:szCs w:val="24"/>
        </w:rPr>
        <w:t xml:space="preserve">Recommendation 4: Invest in Kubernetes configuration expertise for AKS deployments. Organisations deploying on AKS should invest in Kubernetes configuration expertise and establish baseline reliability configuration standards — including liveness probes, replica minimums, pod disruption budgets, and multi-zone node pools — to realise the full reliability potential of the platform.</w:t>
      </w:r>
    </w:p>
    <w:p>
      <w:pPr>
        <w:spacing w:after="200" w:line="360"/>
        <w:jc w:val="both"/>
      </w:pPr>
      <w:r>
        <w:rPr>
          <w:rFonts w:ascii="Arial" w:cs="Arial" w:eastAsia="Arial" w:hAnsi="Arial"/>
          <w:sz w:val="24"/>
          <w:szCs w:val="24"/>
        </w:rPr>
        <w:t xml:space="preserve">Recommendation 5: Leverage Azure Monitor for unified observability. Regardless of architectural choice, organisations should leverage Azure Monitor to maintain unified observability across both Azure Functions and AKS workloads, enabling cloud support teams to diagnose cross-architectural incidents and performance degradation events with a consistent toolset.</w:t>
      </w:r>
    </w:p>
    <w:p>
      <w:r>
        <w:t xml:space="preserve"/>
      </w:r>
    </w:p>
    <w:p>
      <w:pPr>
        <w:pStyle w:val="Heading1"/>
      </w:pPr>
      <w:r>
        <w:rPr>
          <w:rFonts w:ascii="Arial" w:cs="Arial" w:eastAsia="Arial" w:hAnsi="Arial"/>
          <w:b/>
          <w:bCs/>
          <w:sz w:val="32"/>
          <w:szCs w:val="32"/>
        </w:rPr>
        <w:t xml:space="preserve">6.7 Directions for Future Research</w:t>
      </w:r>
    </w:p>
    <w:p>
      <w:pPr>
        <w:spacing w:after="200" w:line="360"/>
        <w:jc w:val="both"/>
      </w:pPr>
      <w:r>
        <w:rPr>
          <w:rFonts w:ascii="Arial" w:cs="Arial" w:eastAsia="Arial" w:hAnsi="Arial"/>
          <w:sz w:val="24"/>
          <w:szCs w:val="24"/>
        </w:rPr>
        <w:t xml:space="preserve">This dissertation identifies several directions for future research that would extend and validate its findings.</w:t>
      </w:r>
    </w:p>
    <w:p>
      <w:pPr>
        <w:pStyle w:val="Heading2"/>
      </w:pPr>
      <w:r>
        <w:rPr>
          <w:rFonts w:ascii="Arial" w:cs="Arial" w:eastAsia="Arial" w:hAnsi="Arial"/>
          <w:b/>
          <w:bCs/>
          <w:sz w:val="28"/>
          <w:szCs w:val="28"/>
        </w:rPr>
        <w:t xml:space="preserve">Future Work 1: Primary Empirical Experimentation</w:t>
      </w:r>
    </w:p>
    <w:p>
      <w:pPr>
        <w:spacing w:after="200" w:line="360"/>
        <w:jc w:val="both"/>
      </w:pPr>
      <w:r>
        <w:rPr>
          <w:rFonts w:ascii="Arial" w:cs="Arial" w:eastAsia="Arial" w:hAnsi="Arial"/>
          <w:sz w:val="24"/>
          <w:szCs w:val="24"/>
        </w:rPr>
        <w:t xml:space="preserve">The most immediate direction for future research is the validation of this dissertation's findings through controlled primary experimentation on live Azure infrastructure. A study deploying identical workloads on Azure Functions and AKS in the same Azure region and measuring cost, latency, scalability, and availability metrics under controlled conditions would provide empirical validation of the secondary data findings presented in this dissertation and would fill the primary data gap identified as a limitation of the current study.</w:t>
      </w:r>
    </w:p>
    <w:p>
      <w:pPr>
        <w:pStyle w:val="Heading2"/>
      </w:pPr>
      <w:r>
        <w:rPr>
          <w:rFonts w:ascii="Arial" w:cs="Arial" w:eastAsia="Arial" w:hAnsi="Arial"/>
          <w:b/>
          <w:bCs/>
          <w:sz w:val="28"/>
          <w:szCs w:val="28"/>
        </w:rPr>
        <w:t xml:space="preserve">Future Work 2: Extension to Azure Container Apps</w:t>
      </w:r>
    </w:p>
    <w:p>
      <w:pPr>
        <w:spacing w:after="200" w:line="360"/>
        <w:jc w:val="both"/>
      </w:pPr>
      <w:r>
        <w:rPr>
          <w:rFonts w:ascii="Arial" w:cs="Arial" w:eastAsia="Arial" w:hAnsi="Arial"/>
          <w:sz w:val="24"/>
          <w:szCs w:val="24"/>
        </w:rPr>
        <w:t xml:space="preserve">Azure Container Apps, Microsoft's managed container service built on top of Kubernetes, represents an emerging architectural option that sits between the fully managed simplicity of Azure Functions and the full control of AKS. A future study extending the analytical framework of this dissertation to include Azure Container Apps would provide a more complete picture of the architectural options available within the Azure ecosystem and would be of significant practical value to cloud architects evaluating Azure-native deployment options.</w:t>
      </w:r>
    </w:p>
    <w:p>
      <w:pPr>
        <w:pStyle w:val="Heading2"/>
      </w:pPr>
      <w:r>
        <w:rPr>
          <w:rFonts w:ascii="Arial" w:cs="Arial" w:eastAsia="Arial" w:hAnsi="Arial"/>
          <w:b/>
          <w:bCs/>
          <w:sz w:val="28"/>
          <w:szCs w:val="28"/>
        </w:rPr>
        <w:t xml:space="preserve">Future Work 3: Longitudinal Cost Analysis</w:t>
      </w:r>
    </w:p>
    <w:p>
      <w:pPr>
        <w:spacing w:after="200" w:line="360"/>
        <w:jc w:val="both"/>
      </w:pPr>
      <w:r>
        <w:rPr>
          <w:rFonts w:ascii="Arial" w:cs="Arial" w:eastAsia="Arial" w:hAnsi="Arial"/>
          <w:sz w:val="24"/>
          <w:szCs w:val="24"/>
        </w:rPr>
        <w:t xml:space="preserve">Given the rapid evolution of cloud pricing models, a longitudinal study tracking the cost dynamics of Azure Functions and AKS over a multi-year period would provide valuable insight into how the cost trade-offs between the two architectures evolve as Microsoft updates its pricing structures, introduces new plans, and optimises its infrastructure. Such a study would be of particular value to organisations making long-term architectural commitments.</w:t>
      </w:r>
    </w:p>
    <w:p>
      <w:pPr>
        <w:pStyle w:val="Heading2"/>
      </w:pPr>
      <w:r>
        <w:rPr>
          <w:rFonts w:ascii="Arial" w:cs="Arial" w:eastAsia="Arial" w:hAnsi="Arial"/>
          <w:b/>
          <w:bCs/>
          <w:sz w:val="28"/>
          <w:szCs w:val="28"/>
        </w:rPr>
        <w:t xml:space="preserve">Future Work 4: Human Factors and Operational Overhead</w:t>
      </w:r>
    </w:p>
    <w:p>
      <w:pPr>
        <w:spacing w:after="200" w:line="360"/>
        <w:jc w:val="both"/>
      </w:pPr>
      <w:r>
        <w:rPr>
          <w:rFonts w:ascii="Arial" w:cs="Arial" w:eastAsia="Arial" w:hAnsi="Arial"/>
          <w:sz w:val="24"/>
          <w:szCs w:val="24"/>
        </w:rPr>
        <w:t xml:space="preserve">Future research should investigate the human factors associated with operating Azure Functions and AKS at scale, including the time required for incident diagnosis, the learning curve associated with Kubernetes expertise, and the impact of architectural choice on cloud support team workload and incident resolution time. This research would complement the technical comparative analysis of this dissertation with an organisational and operational perspective, providing a more complete basis for architectural decision-making.</w:t>
      </w:r>
    </w:p>
    <w:p>
      <w:pPr>
        <w:pStyle w:val="Heading2"/>
      </w:pPr>
      <w:r>
        <w:rPr>
          <w:rFonts w:ascii="Arial" w:cs="Arial" w:eastAsia="Arial" w:hAnsi="Arial"/>
          <w:b/>
          <w:bCs/>
          <w:sz w:val="28"/>
          <w:szCs w:val="28"/>
        </w:rPr>
        <w:t xml:space="preserve">Future Work 5: Multi-Cloud Extension</w:t>
      </w:r>
    </w:p>
    <w:p>
      <w:pPr>
        <w:spacing w:after="200" w:line="360"/>
        <w:jc w:val="both"/>
      </w:pPr>
      <w:r>
        <w:rPr>
          <w:rFonts w:ascii="Arial" w:cs="Arial" w:eastAsia="Arial" w:hAnsi="Arial"/>
          <w:sz w:val="24"/>
          <w:szCs w:val="24"/>
        </w:rPr>
        <w:t xml:space="preserve">While this dissertation intentionally confined its analysis to the Azure ecosystem to eliminate cross-platform variability, a future study applying the same analytical framework to compare equivalent serverless and container-based services on AWS (Lambda and EKS) and GCP (Cloud Functions and GKE) would enable a meta-analysis of within-platform trade-offs across the major cloud providers. This would reveal whether the trade-offs identified in this dissertation are Azure-specific or represent fundamental characteristics of the serverless and container paradigms more broadly.</w:t>
      </w:r>
    </w:p>
    <w:p>
      <w:r>
        <w:t xml:space="preserve"/>
      </w:r>
    </w:p>
    <w:p>
      <w:pPr>
        <w:pStyle w:val="Heading1"/>
      </w:pPr>
      <w:r>
        <w:rPr>
          <w:rFonts w:ascii="Arial" w:cs="Arial" w:eastAsia="Arial" w:hAnsi="Arial"/>
          <w:b/>
          <w:bCs/>
          <w:sz w:val="32"/>
          <w:szCs w:val="32"/>
        </w:rPr>
        <w:t xml:space="preserve">6.8 Closing Reflection</w:t>
      </w:r>
    </w:p>
    <w:p>
      <w:pPr>
        <w:spacing w:after="200" w:line="360"/>
        <w:jc w:val="both"/>
      </w:pPr>
      <w:r>
        <w:rPr>
          <w:rFonts w:ascii="Arial" w:cs="Arial" w:eastAsia="Arial" w:hAnsi="Arial"/>
          <w:sz w:val="24"/>
          <w:szCs w:val="24"/>
        </w:rPr>
        <w:t xml:space="preserve">This dissertation has demonstrated that the choice between serverless and container-based architecture within Microsoft Azure is not a technical question with a single correct answer, but a nuanced architectural decision that must be grounded in workload-specific evidence, organisational context, and operational capability. The within-Azure comparative framework developed in this study provides a rigorous and practically relevant basis for making this decision, and the findings contribute both to the academic literature on cloud computing and to the professional knowledge base of cloud practitioners navigating an increasingly complex cloud landscape.</w:t>
      </w:r>
    </w:p>
    <w:p>
      <w:pPr>
        <w:spacing w:after="200" w:line="360"/>
        <w:jc w:val="both"/>
      </w:pPr>
      <w:r>
        <w:rPr>
          <w:rFonts w:ascii="Arial" w:cs="Arial" w:eastAsia="Arial" w:hAnsi="Arial"/>
          <w:sz w:val="24"/>
          <w:szCs w:val="24"/>
        </w:rPr>
        <w:t xml:space="preserve">As cloud computing continues to evolve, with new services, pricing models, and architectural patterns emerging at pace, the ability to evaluate architectural trade-offs systematically and critically will remain one of the most valuable competencies a cloud professional can possess. It is hoped that this dissertation serves not only as an academic contribution but as a demonstration of that competency, and as a foundation for continued inquiry into the architecture and operation of cloud-native systems.</w:t>
      </w:r>
    </w:p>
    <w:p>
      <w:r>
        <w:t xml:space="preserve"/>
      </w:r>
    </w:p>
    <w:p>
      <w:pPr>
        <w:pStyle w:val="Heading1"/>
      </w:pPr>
      <w:r>
        <w:rPr>
          <w:rFonts w:ascii="Arial" w:cs="Arial" w:eastAsia="Arial" w:hAnsi="Arial"/>
          <w:b/>
          <w:bCs/>
          <w:sz w:val="32"/>
          <w:szCs w:val="32"/>
        </w:rPr>
        <w:t xml:space="preserve">6.9 Summary</w:t>
      </w:r>
    </w:p>
    <w:p>
      <w:pPr>
        <w:spacing w:after="200" w:line="360"/>
        <w:jc w:val="both"/>
      </w:pPr>
      <w:r>
        <w:rPr>
          <w:rFonts w:ascii="Arial" w:cs="Arial" w:eastAsia="Arial" w:hAnsi="Arial"/>
          <w:sz w:val="24"/>
          <w:szCs w:val="24"/>
        </w:rPr>
        <w:t xml:space="preserve">This chapter has presented the key conclusions of this dissertation, assessed the achievement of the five research objectives, articulated the original contributions of the study, offered practical recommendations for cloud practitioners, and identified five directions for future research. The dissertation has addressed its stated research aim — to conduct a systematic and controlled comparative analysis of Azure Functions and AKS within the Microsoft Azure ecosystem — and has demonstrated that the findings make a meaningful contribution to both the academic literature and the professional practice of cloud computing.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2026-05-17T06:42:35.307Z</dcterms:created>
  <dcterms:modified xsi:type="dcterms:W3CDTF">2026-05-17T06:42:35.308Z</dcterms:modified>
</cp:coreProperties>
</file>

<file path=docProps/custom.xml><?xml version="1.0" encoding="utf-8"?>
<Properties xmlns="http://schemas.openxmlformats.org/officeDocument/2006/custom-properties" xmlns:vt="http://schemas.openxmlformats.org/officeDocument/2006/docPropsVTypes"/>
</file>