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MedVision AI: An Explainable Deep Learning Framework for Chest X-Ray Classification with Grad-CAM Interpretability and Retrieval-Augmented Generation</w:t>
      </w:r>
    </w:p>
    <w:p>
      <w:pPr>
        <w:spacing w:after="40"/>
        <w:jc w:val="center"/>
      </w:pPr>
      <w:r>
        <w:rPr>
          <w:rFonts w:ascii="Times New Roman" w:cs="Times New Roman" w:eastAsia="Times New Roman" w:hAnsi="Times New Roman"/>
          <w:b/>
          <w:bCs/>
          <w:sz w:val="22"/>
          <w:szCs w:val="22"/>
        </w:rPr>
        <w:t xml:space="preserve">Sagar</w:t>
      </w:r>
    </w:p>
    <w:p>
      <w:pPr>
        <w:spacing w:after="300"/>
        <w:jc w:val="center"/>
      </w:pPr>
      <w:r>
        <w:rPr>
          <w:rFonts w:ascii="Times New Roman" w:cs="Times New Roman" w:eastAsia="Times New Roman" w:hAnsi="Times New Roman"/>
          <w:i/>
          <w:iCs/>
          <w:sz w:val="20"/>
          <w:szCs w:val="20"/>
        </w:rPr>
        <w:t xml:space="preserve">Department of Computer Science and Data Science, New Horizon College of Engineering, Bengaluru, India</w:t>
      </w:r>
    </w:p>
    <w:p>
      <w:pPr>
        <w:pStyle w:val="Heading1"/>
        <w:spacing w:after="160" w:before="320"/>
      </w:pPr>
      <w:r>
        <w:rPr>
          <w:rFonts w:ascii="Times New Roman" w:cs="Times New Roman" w:eastAsia="Times New Roman" w:hAnsi="Times New Roman"/>
          <w:b/>
          <w:bCs/>
        </w:rPr>
        <w:t xml:space="preserve">Abstract</w:t>
      </w:r>
    </w:p>
    <w:p>
      <w:pPr>
        <w:spacing w:after="160" w:line="276"/>
        <w:jc w:val="both"/>
      </w:pPr>
      <w:r>
        <w:rPr>
          <w:rFonts w:ascii="Times New Roman" w:cs="Times New Roman" w:eastAsia="Times New Roman" w:hAnsi="Times New Roman"/>
          <w:sz w:val="22"/>
          <w:szCs w:val="22"/>
        </w:rPr>
        <w:t xml:space="preserve">Chest radiography remains one of the most widely used diagnostic imaging modalities for detecting pulmonary conditions such as pneumonia and tuberculosis, yet its interpretation is time-intensive and subject to inter-observer variability. This paper presents MedVision AI, an end-to-end deep learning system for automated three-class chest X-ray classification (Normal, Pneumonia, and Tuberculosis) that emphasizes interpretability and clinical usability alongside predictive performance. Three convolutional neural network architectures — ResNet50, DenseNet121, and EfficientNet-B3 — were trained via transfer learning on a dataset of 25,553 labeled chest X-ray images and benchmarked under identical training conditions. EfficientNet-B3 achieved the highest validation accuracy of 77.86%, marginally outperforming DenseNet121 (77.70%) and ResNet50 (77.66%), and was selected as the deployed classification model. To address the opacity of deep convolutional models, Gradient-weighted Class Activation Mapping (Grad-CAM) is integrated to generate visual heatmaps that highlight image regions influencing each prediction. The system further incorporates a Retrieval-Augmented Generation (RAG) pipeline — combining BAAI/bge-small-en-v1.5 embeddings, a ChromaDB vector store, Maximal Marginal Relevance (MMR) retrieval, and Google Gemini — to provide a conversational, source-grounded medical information assistant that reduces the risk of unsupported model responses. The complete system is served through a FastAPI backend and a Streamlit frontend. This paper describes the dataset, training methodology, comparative model evaluation, explainability mechanism, and RAG architecture, and discusses the system's role as an academic research prototype rather than a clinically validated diagnostic tool.</w:t>
      </w:r>
    </w:p>
    <w:p>
      <w:pPr>
        <w:spacing w:after="160" w:line="276"/>
        <w:jc w:val="both"/>
      </w:pPr>
      <w:r>
        <w:rPr>
          <w:rFonts w:ascii="Times New Roman" w:cs="Times New Roman" w:eastAsia="Times New Roman" w:hAnsi="Times New Roman"/>
          <w:i/>
          <w:iCs/>
          <w:sz w:val="22"/>
          <w:szCs w:val="22"/>
        </w:rPr>
        <w:t xml:space="preserve">Keywords: chest X-ray classification, deep learning, transfer learning, EfficientNet, Grad-CAM, explainable AI, retrieval-augmented generation, medical imaging</w:t>
      </w:r>
    </w:p>
    <w:p>
      <w:pPr>
        <w:pStyle w:val="Heading1"/>
        <w:spacing w:after="160" w:before="320"/>
      </w:pPr>
      <w:r>
        <w:rPr>
          <w:rFonts w:ascii="Times New Roman" w:cs="Times New Roman" w:eastAsia="Times New Roman" w:hAnsi="Times New Roman"/>
          <w:b/>
          <w:bCs/>
        </w:rPr>
        <w:t xml:space="preserve">1. Introduction</w:t>
      </w:r>
    </w:p>
    <w:p>
      <w:pPr>
        <w:spacing w:after="160" w:line="276"/>
        <w:jc w:val="both"/>
      </w:pPr>
      <w:r>
        <w:rPr>
          <w:rFonts w:ascii="Times New Roman" w:cs="Times New Roman" w:eastAsia="Times New Roman" w:hAnsi="Times New Roman"/>
          <w:sz w:val="22"/>
          <w:szCs w:val="22"/>
        </w:rPr>
        <w:t xml:space="preserve">Pneumonia and tuberculosis remain among the leading causes of morbidity and mortality worldwide, and chest X-ray (CXR) imaging is a primary, low-cost screening tool for both conditions. However, manual interpretation of CXR images requires trained radiologists, is time-consuming, and is susceptible to variability between readers, particularly in resource-constrained settings where specialist availability is limited. Convolutional neural networks (CNNs) have demonstrated strong performance on medical image classification tasks, offering a potential means of triage support and second-opinion assistance. A persistent barrier to the clinical and educational adoption of such models, however, is their black-box nature: predictions are difficult to interpret without visibility into which image regions drove a given decision.</w:t>
      </w:r>
    </w:p>
    <w:p>
      <w:pPr>
        <w:spacing w:after="160" w:line="276"/>
        <w:jc w:val="both"/>
      </w:pPr>
      <w:r>
        <w:rPr>
          <w:rFonts w:ascii="Times New Roman" w:cs="Times New Roman" w:eastAsia="Times New Roman" w:hAnsi="Times New Roman"/>
          <w:sz w:val="22"/>
          <w:szCs w:val="22"/>
        </w:rPr>
        <w:t xml:space="preserve">This paper introduces MedVision AI, a research prototype designed to address both the predictive and interpretive dimensions of automated CXR analysis. The system (i) classifies chest X-rays into Normal, Pneumonia, or Tuberculosis categories using a CNN selected through comparative benchmarking; (ii) generates Grad-CAM visual explanations for every prediction; and (iii) provides a retrieval-augmented conversational assistant that answers user questions about the predicted condition using a curated, citable medical document collection rather than relying solely on a language model's parametric knowledge. The remainder of this paper is organized as follows: Section 2 reviews related work; Section 3 describes the dataset; Section 4 details the model architectures and training configuration; Section 5 presents the comparative results; Section 6 describes the Grad-CAM explainability mechanism; Section 7 details the RAG pipeline; Section 8 describes the overall system architecture; and Section 9 concludes with limitations and future work.</w:t>
      </w:r>
    </w:p>
    <w:p>
      <w:pPr>
        <w:pStyle w:val="Heading1"/>
        <w:spacing w:after="160" w:before="320"/>
      </w:pPr>
      <w:r>
        <w:rPr>
          <w:rFonts w:ascii="Times New Roman" w:cs="Times New Roman" w:eastAsia="Times New Roman" w:hAnsi="Times New Roman"/>
          <w:b/>
          <w:bCs/>
        </w:rPr>
        <w:t xml:space="preserve">2. Related Work</w:t>
      </w:r>
    </w:p>
    <w:p>
      <w:pPr>
        <w:spacing w:after="160" w:line="276"/>
        <w:jc w:val="both"/>
      </w:pPr>
      <w:r>
        <w:rPr>
          <w:rFonts w:ascii="Times New Roman" w:cs="Times New Roman" w:eastAsia="Times New Roman" w:hAnsi="Times New Roman"/>
          <w:sz w:val="22"/>
          <w:szCs w:val="22"/>
        </w:rPr>
        <w:t xml:space="preserve">Deep transfer learning has become the dominant paradigm for medical image classification with limited labeled data, with ImageNet-pretrained CNN backbones commonly fine-tuned on domain-specific radiographic datasets. Architectures such as ResNet, DenseNet, and the EfficientNet family have each been widely applied to chest radiograph classification tasks, motivating direct empirical comparison rather than a priori architecture selection. Class Activation Mapping techniques, and Grad-CAM in particular, have become a standard post-hoc explainability method for CNNs, allowing practitioners to visualize the spatial regions that most strongly influence a classification decision without modifying the underlying network architecture. Separately, Retrieval-Augmented Generation has emerged as an approach for grounding large language model outputs in external, verifiable knowledge sources, mitigating hallucination in domains — such as medicine — where unsupported generative claims carry particular risk. MedVision AI combines these three research threads — comparative CNN benchmarking, Grad-CAM interpretability, and RAG-grounded conversational assistance — into a single applied system.</w:t>
      </w:r>
    </w:p>
    <w:p>
      <w:pPr>
        <w:pStyle w:val="Heading1"/>
        <w:spacing w:after="160" w:before="320"/>
      </w:pPr>
      <w:r>
        <w:rPr>
          <w:rFonts w:ascii="Times New Roman" w:cs="Times New Roman" w:eastAsia="Times New Roman" w:hAnsi="Times New Roman"/>
          <w:b/>
          <w:bCs/>
        </w:rPr>
        <w:t xml:space="preserve">3. Dataset</w:t>
      </w:r>
    </w:p>
    <w:p>
      <w:pPr>
        <w:spacing w:after="160" w:line="276"/>
        <w:jc w:val="both"/>
      </w:pPr>
      <w:r>
        <w:rPr>
          <w:rFonts w:ascii="Times New Roman" w:cs="Times New Roman" w:eastAsia="Times New Roman" w:hAnsi="Times New Roman"/>
          <w:sz w:val="22"/>
          <w:szCs w:val="22"/>
        </w:rPr>
        <w:t xml:space="preserve">The classification model was trained on a chest X-ray dataset comprising 25,553 images distributed across three diagnostic classes: Normal, Pneumonia, and Tuberculosis. The dataset was partitioned into training, validation, and test splits, summarized in Table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900"/>
        <w:gridCol w:w="1600"/>
      </w:tblGrid>
      <w:tr>
        <w:trPr>
          <w:tblHeader/>
        </w:trPr>
        <w:tc>
          <w:tcPr>
            <w:tcW w:type="dxa" w:w="24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Split</w:t>
            </w:r>
          </w:p>
        </w:tc>
        <w:tc>
          <w:tcPr>
            <w:tcW w:type="dxa" w:w="18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Normal</w:t>
            </w:r>
          </w:p>
        </w:tc>
        <w:tc>
          <w:tcPr>
            <w:tcW w:type="dxa" w:w="18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Pneumonia</w:t>
            </w:r>
          </w:p>
        </w:tc>
        <w:tc>
          <w:tcPr>
            <w:tcW w:type="dxa" w:w="19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Tuberculosis</w:t>
            </w:r>
          </w:p>
        </w:tc>
        <w:tc>
          <w:tcPr>
            <w:tcW w:type="dxa" w:w="1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Total</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Train</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7,263</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4,674</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8,513</w:t>
            </w:r>
          </w:p>
        </w:tc>
        <w:tc>
          <w:tcPr>
            <w:tcW w:type="dxa" w:w="1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20,450</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Validation</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1,064</w:t>
            </w:r>
          </w:p>
        </w:tc>
        <w:tc>
          <w:tcPr>
            <w:tcW w:type="dxa" w:w="1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2,534</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Test</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925</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580</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1,064</w:t>
            </w:r>
          </w:p>
        </w:tc>
        <w:tc>
          <w:tcPr>
            <w:tcW w:type="dxa" w:w="1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2,569</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Total</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9,088</w:t>
            </w:r>
          </w:p>
        </w:tc>
        <w:tc>
          <w:tcPr>
            <w:tcW w:type="dxa" w:w="1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5,824</w:t>
            </w:r>
          </w:p>
        </w:tc>
        <w:tc>
          <w:tcPr>
            <w:tcW w:type="dxa" w:w="1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10,641</w:t>
            </w:r>
          </w:p>
        </w:tc>
        <w:tc>
          <w:tcPr>
            <w:tcW w:type="dxa" w:w="1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25,553</w:t>
            </w:r>
          </w:p>
        </w:tc>
      </w:tr>
    </w:tbl>
    <w:p>
      <w:pPr>
        <w:spacing w:after="240" w:before="60"/>
        <w:jc w:val="center"/>
      </w:pPr>
      <w:r>
        <w:rPr>
          <w:rFonts w:ascii="Times New Roman" w:cs="Times New Roman" w:eastAsia="Times New Roman" w:hAnsi="Times New Roman"/>
          <w:i/>
          <w:iCs/>
          <w:sz w:val="18"/>
          <w:szCs w:val="18"/>
        </w:rPr>
        <w:t xml:space="preserve">Table 1. Class-wise distribution of the chest X-ray dataset across training, validation, and test splits.</w:t>
      </w:r>
    </w:p>
    <w:p>
      <w:pPr>
        <w:spacing w:after="160" w:line="276"/>
        <w:jc w:val="both"/>
      </w:pPr>
      <w:r>
        <w:rPr>
          <w:rFonts w:ascii="Times New Roman" w:cs="Times New Roman" w:eastAsia="Times New Roman" w:hAnsi="Times New Roman"/>
          <w:sz w:val="22"/>
          <w:szCs w:val="22"/>
        </w:rPr>
        <w:t xml:space="preserve">During training, images were resized to 224 × 224 pixels and augmented with random horizontal flipping and random rotation to improve generalization, followed by tensor conversion and normalization using ImageNet channel statistics. Validation and test images underwent identical resizing and normalization without stochastic augmentation, ensuring a consistent and reproducible basis for model comparison.</w:t>
      </w:r>
    </w:p>
    <w:p>
      <w:pPr>
        <w:pStyle w:val="Heading1"/>
        <w:spacing w:after="160" w:before="320"/>
      </w:pPr>
      <w:r>
        <w:rPr>
          <w:rFonts w:ascii="Times New Roman" w:cs="Times New Roman" w:eastAsia="Times New Roman" w:hAnsi="Times New Roman"/>
          <w:b/>
          <w:bCs/>
        </w:rPr>
        <w:t xml:space="preserve">4. Methodology</w:t>
      </w:r>
    </w:p>
    <w:p>
      <w:pPr>
        <w:pStyle w:val="Heading2"/>
        <w:spacing w:after="160" w:before="320"/>
      </w:pPr>
      <w:r>
        <w:rPr>
          <w:rFonts w:ascii="Times New Roman" w:cs="Times New Roman" w:eastAsia="Times New Roman" w:hAnsi="Times New Roman"/>
          <w:b/>
          <w:bCs/>
        </w:rPr>
        <w:t xml:space="preserve">4.1 Model Architectures</w:t>
      </w:r>
    </w:p>
    <w:p>
      <w:pPr>
        <w:spacing w:after="160" w:line="276"/>
        <w:jc w:val="both"/>
      </w:pPr>
      <w:r>
        <w:rPr>
          <w:rFonts w:ascii="Times New Roman" w:cs="Times New Roman" w:eastAsia="Times New Roman" w:hAnsi="Times New Roman"/>
          <w:sz w:val="22"/>
          <w:szCs w:val="22"/>
        </w:rPr>
        <w:t xml:space="preserve">Three convolutional neural network architectures were evaluated for the three-class classification task: ResNet50, DenseNet121, and EfficientNet-B3. All three models were initialized with ImageNet-pretrained weights and fine-tuned on the chest X-ray dataset under identical training conditions to ensure a fair comparison. This comparative benchmarking approach was adopted rather than committing to a single architecture a priori, given the known sensitivity of medical imaging performance to backbone choice.</w:t>
      </w:r>
    </w:p>
    <w:p>
      <w:pPr>
        <w:pStyle w:val="Heading2"/>
        <w:spacing w:after="160" w:before="320"/>
      </w:pPr>
      <w:r>
        <w:rPr>
          <w:rFonts w:ascii="Times New Roman" w:cs="Times New Roman" w:eastAsia="Times New Roman" w:hAnsi="Times New Roman"/>
          <w:b/>
          <w:bCs/>
        </w:rPr>
        <w:t xml:space="preserve">4.2 Training Configuration</w:t>
      </w:r>
    </w:p>
    <w:p>
      <w:pPr>
        <w:spacing w:after="160" w:line="276"/>
        <w:jc w:val="both"/>
      </w:pPr>
      <w:r>
        <w:rPr>
          <w:rFonts w:ascii="Times New Roman" w:cs="Times New Roman" w:eastAsia="Times New Roman" w:hAnsi="Times New Roman"/>
          <w:sz w:val="22"/>
          <w:szCs w:val="22"/>
        </w:rPr>
        <w:t xml:space="preserve">All models were trained using the hyperparameters summarized in Table 2, with mixed-precision training enabled on an NVIDIA RTX 4060 Laptop GPU to accelerate computation.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Parameter</w:t>
            </w:r>
          </w:p>
        </w:tc>
        <w:tc>
          <w:tcPr>
            <w:tcW w:type="dxa" w:w="4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Value</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Input image size</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224 × 224</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Batch size</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32</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Epochs</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Learning rate</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1e-4</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LR scheduler</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ReduceLROnPlateau</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LR factor</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LR patience</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Early stopping patience</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Mixed precision</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Enabled</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GPU</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NVIDIA RTX 4060 Laptop GPU</w:t>
            </w:r>
          </w:p>
        </w:tc>
      </w:tr>
    </w:tbl>
    <w:p>
      <w:pPr>
        <w:spacing w:after="240" w:before="60"/>
        <w:jc w:val="center"/>
      </w:pPr>
      <w:r>
        <w:rPr>
          <w:rFonts w:ascii="Times New Roman" w:cs="Times New Roman" w:eastAsia="Times New Roman" w:hAnsi="Times New Roman"/>
          <w:i/>
          <w:iCs/>
          <w:sz w:val="18"/>
          <w:szCs w:val="18"/>
        </w:rPr>
        <w:t xml:space="preserve">Table 2. Training hyperparameters used for all three benchmarked architectures.</w:t>
      </w:r>
    </w:p>
    <w:p>
      <w:pPr>
        <w:spacing w:after="160" w:line="276"/>
        <w:jc w:val="both"/>
      </w:pPr>
      <w:r>
        <w:rPr>
          <w:rFonts w:ascii="Times New Roman" w:cs="Times New Roman" w:eastAsia="Times New Roman" w:hAnsi="Times New Roman"/>
          <w:sz w:val="22"/>
          <w:szCs w:val="22"/>
        </w:rPr>
        <w:t xml:space="preserve">A learning-rate-on-plateau schedule was used to reduce the learning rate by a factor of 0.5 after two epochs without validation improvement, combined with early stopping after five stagnant epochs to prevent overfitting and reduce unnecessary training time.</w:t>
      </w:r>
    </w:p>
    <w:p>
      <w:pPr>
        <w:pStyle w:val="Heading2"/>
        <w:spacing w:after="160" w:before="320"/>
      </w:pPr>
      <w:r>
        <w:rPr>
          <w:rFonts w:ascii="Times New Roman" w:cs="Times New Roman" w:eastAsia="Times New Roman" w:hAnsi="Times New Roman"/>
          <w:b/>
          <w:bCs/>
        </w:rPr>
        <w:t xml:space="preserve">4.3 Evaluation Metrics</w:t>
      </w:r>
    </w:p>
    <w:p>
      <w:pPr>
        <w:spacing w:after="160" w:line="276"/>
        <w:jc w:val="both"/>
      </w:pPr>
      <w:r>
        <w:rPr>
          <w:rFonts w:ascii="Times New Roman" w:cs="Times New Roman" w:eastAsia="Times New Roman" w:hAnsi="Times New Roman"/>
          <w:sz w:val="22"/>
          <w:szCs w:val="22"/>
        </w:rPr>
        <w:t xml:space="preserve">Model performance was assessed using accuracy, precision, recall, and F1 score, with validation accuracy adopted as the primary criterion for architecture selection, consistent with standard practice for multi-class image classification benchmarking.</w:t>
      </w:r>
    </w:p>
    <w:p>
      <w:pPr>
        <w:pStyle w:val="Heading1"/>
        <w:spacing w:after="160" w:before="320"/>
      </w:pPr>
      <w:r>
        <w:rPr>
          <w:rFonts w:ascii="Times New Roman" w:cs="Times New Roman" w:eastAsia="Times New Roman" w:hAnsi="Times New Roman"/>
          <w:b/>
          <w:bCs/>
        </w:rPr>
        <w:t xml:space="preserve">5. Results</w:t>
      </w:r>
    </w:p>
    <w:p>
      <w:pPr>
        <w:spacing w:after="160" w:line="276"/>
        <w:jc w:val="both"/>
      </w:pPr>
      <w:r>
        <w:rPr>
          <w:rFonts w:ascii="Times New Roman" w:cs="Times New Roman" w:eastAsia="Times New Roman" w:hAnsi="Times New Roman"/>
          <w:sz w:val="22"/>
          <w:szCs w:val="22"/>
        </w:rPr>
        <w:t xml:space="preserve">Table 3 reports the best validation accuracy achieved by each architecture. EfficientNet-B3 attained the highest validation accuracy of 77.86%, narrowly outperforming DenseNet121 (77.70%) and ResNet50 (77.66%).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00"/>
      </w:tblGrid>
      <w:tr>
        <w:trPr>
          <w:tblHeader/>
        </w:trPr>
        <w:tc>
          <w:tcPr>
            <w:tcW w:type="dxa" w:w="1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Rank</w:t>
            </w:r>
          </w:p>
        </w:tc>
        <w:tc>
          <w:tcPr>
            <w:tcW w:type="dxa" w:w="40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Model</w:t>
            </w:r>
          </w:p>
        </w:tc>
        <w:tc>
          <w:tcPr>
            <w:tcW w:type="dxa" w:w="34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Best Validation Accuracy</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40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EfficientNet-B3</w:t>
            </w:r>
          </w:p>
        </w:tc>
        <w:tc>
          <w:tcPr>
            <w:tcW w:type="dxa" w:w="34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77.86%</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40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DenseNet121</w:t>
            </w:r>
          </w:p>
        </w:tc>
        <w:tc>
          <w:tcPr>
            <w:tcW w:type="dxa" w:w="34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77.70%</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40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ResNet50</w:t>
            </w:r>
          </w:p>
        </w:tc>
        <w:tc>
          <w:tcPr>
            <w:tcW w:type="dxa" w:w="34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77.66%</w:t>
            </w:r>
          </w:p>
        </w:tc>
      </w:tr>
    </w:tbl>
    <w:p>
      <w:pPr>
        <w:spacing w:after="240" w:before="60"/>
        <w:jc w:val="center"/>
      </w:pPr>
      <w:r>
        <w:rPr>
          <w:rFonts w:ascii="Times New Roman" w:cs="Times New Roman" w:eastAsia="Times New Roman" w:hAnsi="Times New Roman"/>
          <w:i/>
          <w:iCs/>
          <w:sz w:val="18"/>
          <w:szCs w:val="18"/>
        </w:rPr>
        <w:t xml:space="preserve">Table 3. Comparative validation accuracy across the three benchmarked CNN architectures.</w:t>
      </w:r>
    </w:p>
    <w:p>
      <w:pPr>
        <w:spacing w:after="160" w:line="276"/>
        <w:jc w:val="both"/>
      </w:pPr>
      <w:r>
        <w:rPr>
          <w:rFonts w:ascii="Times New Roman" w:cs="Times New Roman" w:eastAsia="Times New Roman" w:hAnsi="Times New Roman"/>
          <w:sz w:val="22"/>
          <w:szCs w:val="22"/>
        </w:rPr>
        <w:t xml:space="preserve">The margin separating the three architectures is narrow (under 0.2 percentage points), indicating that all three backbones are broadly comparable in capacity for this task under the given training regime. EfficientNet-B3 was selected as the deployed model on the basis of its top ranking, together with its comparatively favorable parameter efficiency relative to ResNet50 and DenseNet121, which is desirable for inference latency in an interactive application.</w:t>
      </w:r>
    </w:p>
    <w:p>
      <w:pPr>
        <w:pStyle w:val="Heading1"/>
        <w:spacing w:after="160" w:before="320"/>
      </w:pPr>
      <w:r>
        <w:rPr>
          <w:rFonts w:ascii="Times New Roman" w:cs="Times New Roman" w:eastAsia="Times New Roman" w:hAnsi="Times New Roman"/>
          <w:b/>
          <w:bCs/>
        </w:rPr>
        <w:t xml:space="preserve">6. Explainable AI: Grad-CAM</w:t>
      </w:r>
    </w:p>
    <w:p>
      <w:pPr>
        <w:spacing w:after="160" w:line="276"/>
        <w:jc w:val="both"/>
      </w:pPr>
      <w:r>
        <w:rPr>
          <w:rFonts w:ascii="Times New Roman" w:cs="Times New Roman" w:eastAsia="Times New Roman" w:hAnsi="Times New Roman"/>
          <w:sz w:val="22"/>
          <w:szCs w:val="22"/>
        </w:rPr>
        <w:t xml:space="preserve">To mitigate the interpretability limitations inherent to deep CNNs, MedVision AI integrates Gradient-weighted Class Activation Mapping (Grad-CAM), which produces a coarse localization heatmap by weighting the final convolutional feature maps according to the gradients flowing into them for a target class. The resulting heatmap is overlaid on the original chest X-ray and displayed alongside the prediction and its associated confidence score within the Streamlit interface, allowing users to visually assess whether the model's attention aligns with clinically plausible regions of the lung fields.</w:t>
      </w:r>
    </w:p>
    <w:p>
      <w:pPr>
        <w:spacing w:after="160" w:line="276"/>
        <w:jc w:val="both"/>
      </w:pPr>
      <w:r>
        <w:rPr>
          <w:rFonts w:ascii="Times New Roman" w:cs="Times New Roman" w:eastAsia="Times New Roman" w:hAnsi="Times New Roman"/>
          <w:sz w:val="22"/>
          <w:szCs w:val="22"/>
        </w:rPr>
        <w:t xml:space="preserve">It is emphasized that Grad-CAM is a post-hoc interpretability technique that visualizes correlation between image regions and model output; it does not establish causal or clinical validity, and heatmap outputs should not be interpreted as confirmation of a diagnosis.</w:t>
      </w:r>
    </w:p>
    <w:p>
      <w:pPr>
        <w:pStyle w:val="Heading1"/>
        <w:spacing w:after="160" w:before="320"/>
      </w:pPr>
      <w:r>
        <w:rPr>
          <w:rFonts w:ascii="Times New Roman" w:cs="Times New Roman" w:eastAsia="Times New Roman" w:hAnsi="Times New Roman"/>
          <w:b/>
          <w:bCs/>
        </w:rPr>
        <w:t xml:space="preserve">7. Retrieval-Augmented Generation Pipeline</w:t>
      </w:r>
    </w:p>
    <w:p>
      <w:pPr>
        <w:spacing w:after="160" w:line="276"/>
        <w:jc w:val="both"/>
      </w:pPr>
      <w:r>
        <w:rPr>
          <w:rFonts w:ascii="Times New Roman" w:cs="Times New Roman" w:eastAsia="Times New Roman" w:hAnsi="Times New Roman"/>
          <w:sz w:val="22"/>
          <w:szCs w:val="22"/>
        </w:rPr>
        <w:t xml:space="preserve">To support user understanding beyond the raw classification output, MedVision AI incorporates a Retrieval-Augmented Generation pipeline that grounds a conversational assistant's responses in a curated collection of medical reference documents, rather than relying solely on the parametric knowledge of the underlying language model. This design choice is intended to reduce the incidence of unsupported or fabricated responses when addressing disease-related queries.</w:t>
      </w:r>
    </w:p>
    <w:p>
      <w:pPr>
        <w:pStyle w:val="Heading2"/>
        <w:spacing w:after="160" w:before="320"/>
      </w:pPr>
      <w:r>
        <w:rPr>
          <w:rFonts w:ascii="Times New Roman" w:cs="Times New Roman" w:eastAsia="Times New Roman" w:hAnsi="Times New Roman"/>
          <w:b/>
          <w:bCs/>
        </w:rPr>
        <w:t xml:space="preserve">7.1 Pipeline Architecture</w:t>
      </w:r>
    </w:p>
    <w:p>
      <w:pPr>
        <w:spacing w:after="160" w:line="276"/>
        <w:jc w:val="both"/>
      </w:pPr>
      <w:r>
        <w:rPr>
          <w:rFonts w:ascii="Times New Roman" w:cs="Times New Roman" w:eastAsia="Times New Roman" w:hAnsi="Times New Roman"/>
          <w:sz w:val="22"/>
          <w:szCs w:val="22"/>
        </w:rPr>
        <w:t xml:space="preserve">The RAG technology stack is summarized in Table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Component</w:t>
            </w:r>
          </w:p>
        </w:tc>
        <w:tc>
          <w:tcPr>
            <w:tcW w:type="dxa" w:w="58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Technology</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Document processing</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Python</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Document loading &amp; splitting</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LangChain</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Embedding model</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BAAI/bge-small-en-v1.5 (Hugging Face)</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Vector database</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ChromaDB</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Retrieval strategy</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Maximal Marginal Relevance (MMR)</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Generation model</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Google Gemini</w:t>
            </w:r>
          </w:p>
        </w:tc>
      </w:tr>
      <w:tr>
        <w:tc>
          <w:tcPr>
            <w:tcW w:type="dxa" w:w="3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Backend integration</w:t>
            </w:r>
          </w:p>
        </w:tc>
        <w:tc>
          <w:tcPr>
            <w:tcW w:type="dxa" w:w="58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FastAPI</w:t>
            </w:r>
          </w:p>
        </w:tc>
      </w:tr>
    </w:tbl>
    <w:p>
      <w:pPr>
        <w:spacing w:after="240" w:before="60"/>
        <w:jc w:val="center"/>
      </w:pPr>
      <w:r>
        <w:rPr>
          <w:rFonts w:ascii="Times New Roman" w:cs="Times New Roman" w:eastAsia="Times New Roman" w:hAnsi="Times New Roman"/>
          <w:i/>
          <w:iCs/>
          <w:sz w:val="18"/>
          <w:szCs w:val="18"/>
        </w:rPr>
        <w:t xml:space="preserve">Table 4. Technology stack of the Retrieval-Augmented Generation pipeline.</w:t>
      </w:r>
    </w:p>
    <w:p>
      <w:pPr>
        <w:spacing w:after="160" w:line="276"/>
        <w:jc w:val="both"/>
      </w:pPr>
      <w:r>
        <w:rPr>
          <w:rFonts w:ascii="Times New Roman" w:cs="Times New Roman" w:eastAsia="Times New Roman" w:hAnsi="Times New Roman"/>
          <w:sz w:val="22"/>
          <w:szCs w:val="22"/>
        </w:rPr>
        <w:t xml:space="preserve">Retrieval is configured with the parameters shown in Table 5, using MMR to balance relevance against diversity among the retrieved passages, thereby reducing redundancy in the context supplied to the generation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Parameter</w:t>
            </w:r>
          </w:p>
        </w:tc>
        <w:tc>
          <w:tcPr>
            <w:tcW w:type="dxa" w:w="4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Value</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Retrieval strategy</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MMR</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Retrieved chunks</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Candidate chunks</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15</w:t>
            </w:r>
          </w:p>
        </w:tc>
      </w:tr>
      <w:tr>
        <w:tc>
          <w:tcPr>
            <w:tcW w:type="dxa" w:w="4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Diversity parameter</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w:t>
            </w:r>
          </w:p>
        </w:tc>
      </w:tr>
    </w:tbl>
    <w:p>
      <w:pPr>
        <w:spacing w:after="240" w:before="60"/>
        <w:jc w:val="center"/>
      </w:pPr>
      <w:r>
        <w:rPr>
          <w:rFonts w:ascii="Times New Roman" w:cs="Times New Roman" w:eastAsia="Times New Roman" w:hAnsi="Times New Roman"/>
          <w:i/>
          <w:iCs/>
          <w:sz w:val="18"/>
          <w:szCs w:val="18"/>
        </w:rPr>
        <w:t xml:space="preserve">Table 5. RAG retrieval configuration parameters.</w:t>
      </w:r>
    </w:p>
    <w:p>
      <w:pPr>
        <w:pStyle w:val="Heading2"/>
        <w:spacing w:after="160" w:before="320"/>
      </w:pPr>
      <w:r>
        <w:rPr>
          <w:rFonts w:ascii="Times New Roman" w:cs="Times New Roman" w:eastAsia="Times New Roman" w:hAnsi="Times New Roman"/>
          <w:b/>
          <w:bCs/>
        </w:rPr>
        <w:t xml:space="preserve">7.2 End-to-End Pipeline</w:t>
      </w:r>
    </w:p>
    <w:p>
      <w:pPr>
        <w:spacing w:after="160" w:line="276"/>
        <w:jc w:val="both"/>
      </w:pPr>
      <w:r>
        <w:rPr>
          <w:rFonts w:ascii="Times New Roman" w:cs="Times New Roman" w:eastAsia="Times New Roman" w:hAnsi="Times New Roman"/>
          <w:sz w:val="22"/>
          <w:szCs w:val="22"/>
        </w:rPr>
        <w:t xml:space="preserve">The pipeline proceeds as follows: (1) medical reference documents are collected and processed; (2) documents are split into text chunks; (3) each chunk is embedded using BAAI/bge-small-en-v1.5; (4) embeddings are indexed in ChromaDB; (5) an incoming user query is embedded; (6) ChromaDB retrieves candidate chunks by vector similarity; (7) MMR selects four relevant and diverse chunks from the candidates; (8) the selected context is passed to Google Gemini; (9) Gemini generates a streamed, grounded response; and (10) the interface displays the generated answer together with its retrieved source documents for user verification. The chatbot additionally receives the current CNN prediction as contextual input, enabling it to correctly interpret user questions that refer implicitly to "the predicted condition."</w:t>
      </w:r>
    </w:p>
    <w:p>
      <w:pPr>
        <w:pStyle w:val="Heading1"/>
        <w:spacing w:after="160" w:before="320"/>
      </w:pPr>
      <w:r>
        <w:rPr>
          <w:rFonts w:ascii="Times New Roman" w:cs="Times New Roman" w:eastAsia="Times New Roman" w:hAnsi="Times New Roman"/>
          <w:b/>
          <w:bCs/>
        </w:rPr>
        <w:t xml:space="preserve">8. System Architecture</w:t>
      </w:r>
    </w:p>
    <w:p>
      <w:pPr>
        <w:spacing w:after="160" w:line="276"/>
        <w:jc w:val="both"/>
      </w:pPr>
      <w:r>
        <w:rPr>
          <w:rFonts w:ascii="Times New Roman" w:cs="Times New Roman" w:eastAsia="Times New Roman" w:hAnsi="Times New Roman"/>
          <w:sz w:val="22"/>
          <w:szCs w:val="22"/>
        </w:rPr>
        <w:t xml:space="preserve">The system follows a client-server architecture. The Streamlit frontend handles image upload, displays predicted class probabilities and confidence scores, renders Grad-CAM heatmap overlays, and hosts the conversational interface together with its retrieved-source viewer. The FastAPI backend performs image preprocessing, executes CNN inference, generates Grad-CAM visualizations, and processes and streams RAG-based conversational responses. Table 6 summarizes the responsibilities of each architectural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Layer</w:t>
            </w:r>
          </w:p>
        </w:tc>
        <w:tc>
          <w:tcPr>
            <w:tcW w:type="dxa" w:w="2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Technology</w:t>
            </w:r>
          </w:p>
        </w:tc>
        <w:tc>
          <w:tcPr>
            <w:tcW w:type="dxa" w:w="46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Responsibilities</w:t>
            </w:r>
          </w:p>
        </w:tc>
      </w:tr>
      <w:t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Frontend</w:t>
            </w:r>
          </w:p>
        </w:tc>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Streamlit</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Image upload, prediction display, Grad-CAM visualization, chat interface</w:t>
            </w:r>
          </w:p>
        </w:tc>
      </w:tr>
      <w:t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Backend</w:t>
            </w:r>
          </w:p>
        </w:tc>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FastAPI</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Preprocessing, CNN inference, Grad-CAM generation, RAG orchestration</w:t>
            </w:r>
          </w:p>
        </w:tc>
      </w:tr>
      <w:t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Machine learning</w:t>
            </w:r>
          </w:p>
        </w:tc>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EfficientNet-B3</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Three-class CXR classification</w:t>
            </w:r>
          </w:p>
        </w:tc>
      </w:tr>
      <w:t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RAG pipeline</w:t>
            </w:r>
          </w:p>
        </w:tc>
        <w:tc>
          <w:tcPr>
            <w:tcW w:type="dxa" w:w="2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LangChain, BGE, ChromaDB, MMR, Gemini</w:t>
            </w:r>
          </w:p>
        </w:tc>
        <w:tc>
          <w:tcPr>
            <w:tcW w:type="dxa" w:w="46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Grounded retrieval and response generation</w:t>
            </w:r>
          </w:p>
        </w:tc>
      </w:tr>
    </w:tbl>
    <w:p>
      <w:pPr>
        <w:spacing w:after="240" w:before="60"/>
        <w:jc w:val="center"/>
      </w:pPr>
      <w:r>
        <w:rPr>
          <w:rFonts w:ascii="Times New Roman" w:cs="Times New Roman" w:eastAsia="Times New Roman" w:hAnsi="Times New Roman"/>
          <w:i/>
          <w:iCs/>
          <w:sz w:val="18"/>
          <w:szCs w:val="18"/>
        </w:rPr>
        <w:t xml:space="preserve">Table 6. System architecture layers and their responsibilities.</w:t>
      </w:r>
    </w:p>
    <w:p>
      <w:pPr>
        <w:pStyle w:val="Heading1"/>
        <w:spacing w:after="160" w:before="320"/>
      </w:pPr>
      <w:r>
        <w:rPr>
          <w:rFonts w:ascii="Times New Roman" w:cs="Times New Roman" w:eastAsia="Times New Roman" w:hAnsi="Times New Roman"/>
          <w:b/>
          <w:bCs/>
        </w:rPr>
        <w:t xml:space="preserve">9. Discussion, Limitations, and Future Work</w:t>
      </w:r>
    </w:p>
    <w:p>
      <w:pPr>
        <w:spacing w:after="160" w:line="276"/>
        <w:jc w:val="both"/>
      </w:pPr>
      <w:r>
        <w:rPr>
          <w:rFonts w:ascii="Times New Roman" w:cs="Times New Roman" w:eastAsia="Times New Roman" w:hAnsi="Times New Roman"/>
          <w:sz w:val="22"/>
          <w:szCs w:val="22"/>
        </w:rPr>
        <w:t xml:space="preserve">The comparative evaluation indicates that EfficientNet-B3, DenseNet121, and ResNet50 perform similarly on this three-class chest X-ray classification task, with EfficientNet-B3 offering a marginal accuracy advantage alongside favorable computational efficiency. The integration of Grad-CAM addresses a key limitation of CNN-based classifiers by exposing the spatial basis for each prediction, while the RAG pipeline addresses a complementary limitation of generative language models by grounding conversational responses in a verifiable document collection rather than unconstrained model knowledge.</w:t>
      </w:r>
    </w:p>
    <w:p>
      <w:pPr>
        <w:spacing w:after="160" w:line="276"/>
        <w:jc w:val="both"/>
      </w:pPr>
      <w:r>
        <w:rPr>
          <w:rFonts w:ascii="Times New Roman" w:cs="Times New Roman" w:eastAsia="Times New Roman" w:hAnsi="Times New Roman"/>
          <w:sz w:val="22"/>
          <w:szCs w:val="22"/>
        </w:rPr>
        <w:t xml:space="preserve">Several limitations should be noted. The achieved validation accuracy (77.86%) leaves substantial room for improvement relative to specialized clinical-grade systems, and the dataset, while sizable, may not fully capture the demographic and equipment variability present in real-world clinical settings. Grad-CAM's coarse resolution, driven by the spatial dimensions of the final convolutional layer, limits fine-grained localization. As an academic research prototype, MedVision AI has not undergone clinical validation and is not intended for diagnostic use. Future work includes expanding the dataset with multi-institutional data, exploring ensemble and vision-transformer architectures, incorporating uncertainty quantification, and conducting structured evaluation of the RAG assistant's factual grounding against clinical reference standards.</w:t>
      </w:r>
    </w:p>
    <w:p>
      <w:pPr>
        <w:pStyle w:val="Heading1"/>
        <w:spacing w:after="160" w:before="320"/>
      </w:pPr>
      <w:r>
        <w:rPr>
          <w:rFonts w:ascii="Times New Roman" w:cs="Times New Roman" w:eastAsia="Times New Roman" w:hAnsi="Times New Roman"/>
          <w:b/>
          <w:bCs/>
        </w:rPr>
        <w:t xml:space="preserve">10. Conclusion</w:t>
      </w:r>
    </w:p>
    <w:p>
      <w:pPr>
        <w:spacing w:after="160" w:line="276"/>
        <w:jc w:val="both"/>
      </w:pPr>
      <w:r>
        <w:rPr>
          <w:rFonts w:ascii="Times New Roman" w:cs="Times New Roman" w:eastAsia="Times New Roman" w:hAnsi="Times New Roman"/>
          <w:sz w:val="22"/>
          <w:szCs w:val="22"/>
        </w:rPr>
        <w:t xml:space="preserve">This paper presented MedVision AI, an explainable deep learning system for three-class chest X-ray classification that pairs a benchmarked EfficientNet-B3 classifier with Grad-CAM interpretability and a Retrieval-Augmented Generation conversational assistant. By combining comparative architecture evaluation, visual explainability, and source-grounded generative assistance within a single FastAPI–Streamlit application, the system illustrates a practical approach to building interpretable, trustworthy AI prototypes for medical imaging research and education.</w:t>
      </w:r>
    </w:p>
    <w:p>
      <w:pPr>
        <w:pStyle w:val="Heading1"/>
        <w:spacing w:after="160" w:before="320"/>
      </w:pPr>
      <w:r>
        <w:rPr>
          <w:rFonts w:ascii="Times New Roman" w:cs="Times New Roman" w:eastAsia="Times New Roman" w:hAnsi="Times New Roman"/>
          <w:b/>
          <w:bCs/>
        </w:rPr>
        <w:t xml:space="preserve">References</w:t>
      </w:r>
    </w:p>
    <w:p>
      <w:pPr>
        <w:spacing w:after="160" w:line="276"/>
        <w:jc w:val="left"/>
      </w:pPr>
      <w:r>
        <w:rPr>
          <w:rFonts w:ascii="Times New Roman" w:cs="Times New Roman" w:eastAsia="Times New Roman" w:hAnsi="Times New Roman"/>
          <w:sz w:val="22"/>
          <w:szCs w:val="22"/>
        </w:rPr>
        <w:t xml:space="preserve">[1] K. He, X. Zhang, S. Ren, and J. Sun, "Deep Residual Learning for Image Recognition," in Proc. IEEE Conf. Computer Vision and Pattern Recognition (CVPR), 2016.</w:t>
      </w:r>
    </w:p>
    <w:p>
      <w:pPr>
        <w:spacing w:after="160" w:line="276"/>
        <w:jc w:val="left"/>
      </w:pPr>
      <w:r>
        <w:rPr>
          <w:rFonts w:ascii="Times New Roman" w:cs="Times New Roman" w:eastAsia="Times New Roman" w:hAnsi="Times New Roman"/>
          <w:sz w:val="22"/>
          <w:szCs w:val="22"/>
        </w:rPr>
        <w:t xml:space="preserve">[2] G. Huang, Z. Liu, L. van der Maaten, and K. Q. Weinberger, "Densely Connected Convolutional Networks," in Proc. IEEE Conf. Computer Vision and Pattern Recognition (CVPR), 2017.</w:t>
      </w:r>
    </w:p>
    <w:p>
      <w:pPr>
        <w:spacing w:after="160" w:line="276"/>
        <w:jc w:val="left"/>
      </w:pPr>
      <w:r>
        <w:rPr>
          <w:rFonts w:ascii="Times New Roman" w:cs="Times New Roman" w:eastAsia="Times New Roman" w:hAnsi="Times New Roman"/>
          <w:sz w:val="22"/>
          <w:szCs w:val="22"/>
        </w:rPr>
        <w:t xml:space="preserve">[3] M. Tan and Q. V. Le, "EfficientNet: Rethinking Model Scaling for Convolutional Neural Networks," in Proc. Int. Conf. Machine Learning (ICML), 2019.</w:t>
      </w:r>
    </w:p>
    <w:p>
      <w:pPr>
        <w:spacing w:after="160" w:line="276"/>
        <w:jc w:val="left"/>
      </w:pPr>
      <w:r>
        <w:rPr>
          <w:rFonts w:ascii="Times New Roman" w:cs="Times New Roman" w:eastAsia="Times New Roman" w:hAnsi="Times New Roman"/>
          <w:sz w:val="22"/>
          <w:szCs w:val="22"/>
        </w:rPr>
        <w:t xml:space="preserve">[4] R. R. Selvaraju et al., "Grad-CAM: Visual Explanations from Deep Networks via Gradient-based Localization," in Proc. IEEE Int. Conf. Computer Vision (ICCV), 2017.</w:t>
      </w:r>
    </w:p>
    <w:p>
      <w:pPr>
        <w:spacing w:after="160" w:line="276"/>
        <w:jc w:val="left"/>
      </w:pPr>
      <w:r>
        <w:rPr>
          <w:rFonts w:ascii="Times New Roman" w:cs="Times New Roman" w:eastAsia="Times New Roman" w:hAnsi="Times New Roman"/>
          <w:sz w:val="22"/>
          <w:szCs w:val="22"/>
        </w:rPr>
        <w:t xml:space="preserve">[5] P. Lewis et al., "Retrieval-Augmented Generation for Knowledge-Intensive NLP Tasks," in Advances in Neural Information Processing Systems (NeurIPS), 2020.</w:t>
      </w:r>
    </w:p>
    <w:p>
      <w:pPr>
        <w:spacing w:after="160" w:line="276"/>
        <w:jc w:val="left"/>
      </w:pPr>
      <w:r>
        <w:rPr>
          <w:rFonts w:ascii="Times New Roman" w:cs="Times New Roman" w:eastAsia="Times New Roman" w:hAnsi="Times New Roman"/>
          <w:sz w:val="22"/>
          <w:szCs w:val="22"/>
        </w:rPr>
        <w:t xml:space="preserve">[6] J. Deng et al., "ImageNet: A Large-Scale Hierarchical Image Database," in Proc. IEEE Conf. Computer Vision and Pattern Recognition (CVPR), 2009.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MedVision AI — Explainable Chest X-Ray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40" w:before="280"/>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pPr>
    <w:rPr>
      <w:rFonts w:ascii="Times New Roman" w:cs="Times New Roman" w:eastAsia="Times New Roman" w:hAnsi="Times New Roman"/>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2026-08-14T15:22:17.896Z</dcterms:created>
  <dcterms:modified xsi:type="dcterms:W3CDTF">2026-08-14T15:22:17.913Z</dcterms:modified>
</cp:coreProperties>
</file>

<file path=docProps/custom.xml><?xml version="1.0" encoding="utf-8"?>
<Properties xmlns="http://schemas.openxmlformats.org/officeDocument/2006/custom-properties" xmlns:vt="http://schemas.openxmlformats.org/officeDocument/2006/docPropsVTypes"/>
</file>