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4E79"/>
          <w:sz w:val="36"/>
          <w:szCs w:val="36"/>
        </w:rPr>
        <w:t xml:space="preserve">SMART INDIA HACKATHON</w:t>
      </w:r>
    </w:p>
    <w:p>
      <w:pPr>
        <w:spacing w:after="160"/>
        <w:jc w:val="center"/>
      </w:pPr>
      <w:r>
        <w:rPr>
          <w:rFonts w:ascii="Arial" w:cs="Arial" w:eastAsia="Arial" w:hAnsi="Arial"/>
          <w:i/>
          <w:iCs/>
          <w:color w:val="444444"/>
          <w:sz w:val="24"/>
          <w:szCs w:val="24"/>
        </w:rPr>
        <w:t xml:space="preserve">College Round — Research Report</w:t>
      </w:r>
    </w:p>
    <w:p>
      <w:pPr>
        <w:spacing w:after="60"/>
        <w:jc w:val="center"/>
      </w:pPr>
      <w:r>
        <w:rPr>
          <w:rFonts w:ascii="Arial" w:cs="Arial" w:eastAsia="Arial" w:hAnsi="Arial"/>
          <w:b/>
          <w:bCs/>
          <w:color w:val="1F4E79"/>
          <w:sz w:val="26"/>
          <w:szCs w:val="26"/>
        </w:rPr>
        <w:t xml:space="preserve">PROBLEM STATEMENT RESEARCH REPORT</w:t>
      </w:r>
    </w:p>
    <w:p>
      <w:pPr>
        <w:spacing w:after="200"/>
        <w:jc w:val="center"/>
      </w:pPr>
      <w:r>
        <w:rPr>
          <w:rFonts w:ascii="Arial" w:cs="Arial" w:eastAsia="Arial" w:hAnsi="Arial"/>
          <w:b/>
          <w:bCs/>
          <w:color w:val="196F3D"/>
          <w:sz w:val="24"/>
          <w:szCs w:val="24"/>
        </w:rPr>
        <w:t xml:space="preserve">KisanQueue — Smart Mandi Procurement Scheduling &amp; Tracking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5240"/>
        <w:gridCol w:w="2800"/>
      </w:tblGrid>
      <w:tr>
        <w:tc>
          <w:tcPr>
            <w:tcW w:type="dxa" w:w="2400"/>
            <w:tcBorders>
              <w:top w:val="single" w:color="1F4E79" w:sz="1"/>
              <w:left w:val="single" w:color="1F4E79" w:sz="1"/>
              <w:bottom w:val="single" w:color="1F4E79" w:sz="1"/>
              <w:right w:val="single" w:color="1F4E79" w:sz="1"/>
            </w:tcBorders>
            <w:shd w:fill="1F4E79" w:val="clear"/>
            <w:tcMar>
              <w:top w:type="dxa" w:w="70"/>
              <w:left w:type="dxa" w:w="90"/>
              <w:bottom w:type="dxa" w:w="70"/>
              <w:right w:type="dxa" w:w="90"/>
            </w:tcMar>
            <w:vAlign w:val="center"/>
          </w:tcPr>
          <w:p>
            <w:r>
              <w:rPr>
                <w:rFonts w:ascii="Arial" w:cs="Arial" w:eastAsia="Arial" w:hAnsi="Arial"/>
                <w:b/>
                <w:bCs/>
                <w:color w:val="FFFFFF"/>
                <w:sz w:val="17"/>
                <w:szCs w:val="17"/>
              </w:rPr>
              <w:t xml:space="preserve">Problem Statement ID</w:t>
            </w:r>
          </w:p>
        </w:tc>
        <w:tc>
          <w:tcPr>
            <w:tcW w:type="dxa" w:w="5240"/>
            <w:tcBorders>
              <w:top w:val="single" w:color="1F4E79" w:sz="1"/>
              <w:left w:val="single" w:color="1F4E79" w:sz="1"/>
              <w:bottom w:val="single" w:color="1F4E79" w:sz="1"/>
              <w:right w:val="single" w:color="1F4E79" w:sz="1"/>
            </w:tcBorders>
            <w:shd w:fill="1F4E79" w:val="clear"/>
            <w:tcMar>
              <w:top w:type="dxa" w:w="70"/>
              <w:left w:type="dxa" w:w="90"/>
              <w:bottom w:type="dxa" w:w="70"/>
              <w:right w:type="dxa" w:w="90"/>
            </w:tcMar>
            <w:vAlign w:val="center"/>
          </w:tcPr>
          <w:p>
            <w:r>
              <w:rPr>
                <w:rFonts w:ascii="Arial" w:cs="Arial" w:eastAsia="Arial" w:hAnsi="Arial"/>
                <w:b/>
                <w:bCs/>
                <w:color w:val="FFFFFF"/>
                <w:sz w:val="17"/>
                <w:szCs w:val="17"/>
              </w:rPr>
              <w:t xml:space="preserve">Problem Statement Title</w:t>
            </w:r>
          </w:p>
        </w:tc>
        <w:tc>
          <w:tcPr>
            <w:tcW w:type="dxa" w:w="2800"/>
            <w:tcBorders>
              <w:top w:val="single" w:color="1F4E79" w:sz="1"/>
              <w:left w:val="single" w:color="1F4E79" w:sz="1"/>
              <w:bottom w:val="single" w:color="1F4E79" w:sz="1"/>
              <w:right w:val="single" w:color="1F4E79" w:sz="1"/>
            </w:tcBorders>
            <w:shd w:fill="1F4E79" w:val="clear"/>
            <w:tcMar>
              <w:top w:type="dxa" w:w="70"/>
              <w:left w:type="dxa" w:w="90"/>
              <w:bottom w:type="dxa" w:w="70"/>
              <w:right w:type="dxa" w:w="90"/>
            </w:tcMar>
            <w:vAlign w:val="center"/>
          </w:tcPr>
          <w:p>
            <w:r>
              <w:rPr>
                <w:rFonts w:ascii="Arial" w:cs="Arial" w:eastAsia="Arial" w:hAnsi="Arial"/>
                <w:b/>
                <w:bCs/>
                <w:color w:val="FFFFFF"/>
                <w:sz w:val="17"/>
                <w:szCs w:val="17"/>
              </w:rPr>
              <w:t xml:space="preserve">Team Name</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vAlign w:val="center"/>
          </w:tcPr>
          <w:p>
            <w:r>
              <w:rPr>
                <w:rFonts w:ascii="Arial" w:cs="Arial" w:eastAsia="Arial" w:hAnsi="Arial"/>
                <w:b/>
                <w:bCs/>
                <w:color w:val="000000"/>
                <w:sz w:val="18"/>
                <w:szCs w:val="18"/>
              </w:rPr>
              <w:t xml:space="preserve">SIH26-26032</w:t>
            </w:r>
          </w:p>
        </w:tc>
        <w:tc>
          <w:tcPr>
            <w:tcW w:type="dxa" w:w="524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tcPr>
          <w:p>
            <w:r>
              <w:rPr>
                <w:rFonts w:ascii="Arial" w:cs="Arial" w:eastAsia="Arial" w:hAnsi="Arial"/>
                <w:sz w:val="17"/>
                <w:szCs w:val="17"/>
              </w:rPr>
              <w:t xml:space="preserve">Farmers face long waiting times, lack of procurement schedule information, and uncertainty about procurement status</w:t>
            </w:r>
          </w:p>
        </w:tc>
        <w:tc>
          <w:tcPr>
            <w:tcW w:type="dxa" w:w="280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vAlign w:val="center"/>
          </w:tcPr>
          <w:p>
            <w:r>
              <w:rPr>
                <w:rFonts w:ascii="Arial" w:cs="Arial" w:eastAsia="Arial" w:hAnsi="Arial"/>
                <w:b/>
                <w:bCs/>
                <w:color w:val="000000"/>
                <w:sz w:val="18"/>
                <w:szCs w:val="18"/>
              </w:rPr>
              <w:t xml:space="preserve">Learn-0-thon</w:t>
            </w:r>
          </w:p>
        </w:tc>
      </w:tr>
    </w:tbl>
    <w:p>
      <w:pPr>
        <w:pStyle w:val="Heading1"/>
        <w:spacing w:after="160" w:before="320"/>
      </w:pPr>
      <w:r>
        <w:rPr>
          <w:rFonts w:ascii="Arial" w:cs="Arial" w:eastAsia="Arial" w:hAnsi="Arial"/>
          <w:b/>
          <w:bCs/>
          <w:color w:val="1F4E79"/>
          <w:sz w:val="28"/>
          <w:szCs w:val="28"/>
        </w:rPr>
        <w:t xml:space="preserve">1. Team Details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3440"/>
      </w:tblGrid>
      <w:tr>
        <w:tc>
          <w:tcPr>
            <w:tcW w:type="dxa" w:w="2600"/>
            <w:tcBorders>
              <w:top w:val="single" w:color="1F4E79" w:sz="1"/>
              <w:left w:val="single" w:color="1F4E79" w:sz="1"/>
              <w:bottom w:val="single" w:color="1F4E79" w:sz="1"/>
              <w:right w:val="single" w:color="1F4E79" w:sz="1"/>
            </w:tcBorders>
            <w:shd w:fill="1F4E79" w:val="clear"/>
            <w:tcMar>
              <w:top w:type="dxa" w:w="70"/>
              <w:left w:type="dxa" w:w="90"/>
              <w:bottom w:type="dxa" w:w="70"/>
              <w:right w:type="dxa" w:w="90"/>
            </w:tcMar>
            <w:vAlign w:val="center"/>
          </w:tcPr>
          <w:p>
            <w:r>
              <w:rPr>
                <w:rFonts w:ascii="Arial" w:cs="Arial" w:eastAsia="Arial" w:hAnsi="Arial"/>
                <w:b/>
                <w:bCs/>
                <w:color w:val="FFFFFF"/>
                <w:sz w:val="18"/>
                <w:szCs w:val="18"/>
              </w:rPr>
              <w:t xml:space="preserve">Name</w:t>
            </w:r>
          </w:p>
        </w:tc>
        <w:tc>
          <w:tcPr>
            <w:tcW w:type="dxa" w:w="4400"/>
            <w:tcBorders>
              <w:top w:val="single" w:color="1F4E79" w:sz="1"/>
              <w:left w:val="single" w:color="1F4E79" w:sz="1"/>
              <w:bottom w:val="single" w:color="1F4E79" w:sz="1"/>
              <w:right w:val="single" w:color="1F4E79" w:sz="1"/>
            </w:tcBorders>
            <w:shd w:fill="1F4E79" w:val="clear"/>
            <w:tcMar>
              <w:top w:type="dxa" w:w="70"/>
              <w:left w:type="dxa" w:w="90"/>
              <w:bottom w:type="dxa" w:w="70"/>
              <w:right w:type="dxa" w:w="90"/>
            </w:tcMar>
            <w:vAlign w:val="center"/>
          </w:tcPr>
          <w:p>
            <w:r>
              <w:rPr>
                <w:rFonts w:ascii="Arial" w:cs="Arial" w:eastAsia="Arial" w:hAnsi="Arial"/>
                <w:b/>
                <w:bCs/>
                <w:color w:val="FFFFFF"/>
                <w:sz w:val="18"/>
                <w:szCs w:val="18"/>
              </w:rPr>
              <w:t xml:space="preserve">Role / What they'll work on</w:t>
            </w:r>
          </w:p>
        </w:tc>
        <w:tc>
          <w:tcPr>
            <w:tcW w:type="dxa" w:w="3440"/>
            <w:tcBorders>
              <w:top w:val="single" w:color="1F4E79" w:sz="1"/>
              <w:left w:val="single" w:color="1F4E79" w:sz="1"/>
              <w:bottom w:val="single" w:color="1F4E79" w:sz="1"/>
              <w:right w:val="single" w:color="1F4E79" w:sz="1"/>
            </w:tcBorders>
            <w:shd w:fill="1F4E79" w:val="clear"/>
            <w:tcMar>
              <w:top w:type="dxa" w:w="70"/>
              <w:left w:type="dxa" w:w="90"/>
              <w:bottom w:type="dxa" w:w="70"/>
              <w:right w:type="dxa" w:w="90"/>
            </w:tcMar>
            <w:vAlign w:val="center"/>
          </w:tcPr>
          <w:p>
            <w:r>
              <w:rPr>
                <w:rFonts w:ascii="Arial" w:cs="Arial" w:eastAsia="Arial" w:hAnsi="Arial"/>
                <w:b/>
                <w:bCs/>
                <w:color w:val="FFFFFF"/>
                <w:sz w:val="18"/>
                <w:szCs w:val="18"/>
              </w:rPr>
              <w:t xml:space="preserve">Branch &amp; Year</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vAlign w:val="center"/>
          </w:tcPr>
          <w:p>
            <w:r>
              <w:rPr>
                <w:rFonts w:ascii="Arial" w:cs="Arial" w:eastAsia="Arial" w:hAnsi="Arial"/>
                <w:b/>
                <w:bCs/>
                <w:color w:val="000000"/>
                <w:sz w:val="17"/>
                <w:szCs w:val="17"/>
              </w:rPr>
              <w:t xml:space="preserve">Deekshith Kumar</w:t>
            </w:r>
          </w:p>
        </w:tc>
        <w:tc>
          <w:tcPr>
            <w:tcW w:type="dxa" w:w="440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vAlign w:val="center"/>
          </w:tcPr>
          <w:p>
            <w:r>
              <w:rPr>
                <w:rFonts w:ascii="Arial" w:cs="Arial" w:eastAsia="Arial" w:hAnsi="Arial"/>
                <w:b w:val="false"/>
                <w:bCs w:val="false"/>
                <w:color w:val="000000"/>
                <w:sz w:val="16"/>
                <w:szCs w:val="16"/>
              </w:rPr>
              <w:t xml:space="preserve">Backend &amp; Security — database schema, authentication, role-based access, RLS policies</w:t>
            </w:r>
          </w:p>
        </w:tc>
        <w:tc>
          <w:tcPr>
            <w:tcW w:type="dxa" w:w="344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vAlign w:val="center"/>
          </w:tcPr>
          <w:p>
            <w:r>
              <w:rPr>
                <w:rFonts w:ascii="Arial" w:cs="Arial" w:eastAsia="Arial" w:hAnsi="Arial"/>
                <w:b w:val="false"/>
                <w:bCs w:val="false"/>
                <w:color w:val="000000"/>
                <w:sz w:val="16"/>
                <w:szCs w:val="16"/>
              </w:rPr>
              <w:t xml:space="preserve">B.Tech Computer Science &amp; Engineering (CSE) — Semester 5, 3rd Year</w:t>
            </w:r>
          </w:p>
        </w:tc>
      </w:tr>
      <w:tr>
        <w:tc>
          <w:tcPr>
            <w:tcW w:type="dxa" w:w="2600"/>
            <w:tcBorders>
              <w:top w:val="single" w:color="AAAAAA" w:sz="1"/>
              <w:left w:val="single" w:color="AAAAAA" w:sz="1"/>
              <w:bottom w:val="single" w:color="AAAAAA" w:sz="1"/>
              <w:right w:val="single" w:color="AAAAAA" w:sz="1"/>
            </w:tcBorders>
            <w:shd w:fill="F4F6F7" w:val="clear"/>
            <w:tcMar>
              <w:top w:type="dxa" w:w="70"/>
              <w:left w:type="dxa" w:w="90"/>
              <w:bottom w:type="dxa" w:w="70"/>
              <w:right w:type="dxa" w:w="90"/>
            </w:tcMar>
            <w:vAlign w:val="center"/>
          </w:tcPr>
          <w:p>
            <w:r>
              <w:rPr>
                <w:rFonts w:ascii="Arial" w:cs="Arial" w:eastAsia="Arial" w:hAnsi="Arial"/>
                <w:b/>
                <w:bCs/>
                <w:color w:val="000000"/>
                <w:sz w:val="17"/>
                <w:szCs w:val="17"/>
              </w:rPr>
              <w:t xml:space="preserve">Spoorthi V</w:t>
            </w:r>
          </w:p>
        </w:tc>
        <w:tc>
          <w:tcPr>
            <w:tcW w:type="dxa" w:w="4400"/>
            <w:tcBorders>
              <w:top w:val="single" w:color="AAAAAA" w:sz="1"/>
              <w:left w:val="single" w:color="AAAAAA" w:sz="1"/>
              <w:bottom w:val="single" w:color="AAAAAA" w:sz="1"/>
              <w:right w:val="single" w:color="AAAAAA" w:sz="1"/>
            </w:tcBorders>
            <w:shd w:fill="F4F6F7" w:val="clear"/>
            <w:tcMar>
              <w:top w:type="dxa" w:w="70"/>
              <w:left w:type="dxa" w:w="90"/>
              <w:bottom w:type="dxa" w:w="70"/>
              <w:right w:type="dxa" w:w="90"/>
            </w:tcMar>
            <w:vAlign w:val="center"/>
          </w:tcPr>
          <w:p>
            <w:r>
              <w:rPr>
                <w:rFonts w:ascii="Arial" w:cs="Arial" w:eastAsia="Arial" w:hAnsi="Arial"/>
                <w:b w:val="false"/>
                <w:bCs w:val="false"/>
                <w:color w:val="000000"/>
                <w:sz w:val="16"/>
                <w:szCs w:val="16"/>
              </w:rPr>
              <w:t xml:space="preserve">Realtime &amp; Notifications — live status sync, WebSocket, SMS/voice alerts</w:t>
            </w:r>
          </w:p>
        </w:tc>
        <w:tc>
          <w:tcPr>
            <w:tcW w:type="dxa" w:w="3440"/>
            <w:tcBorders>
              <w:top w:val="single" w:color="AAAAAA" w:sz="1"/>
              <w:left w:val="single" w:color="AAAAAA" w:sz="1"/>
              <w:bottom w:val="single" w:color="AAAAAA" w:sz="1"/>
              <w:right w:val="single" w:color="AAAAAA" w:sz="1"/>
            </w:tcBorders>
            <w:shd w:fill="F4F6F7" w:val="clear"/>
            <w:tcMar>
              <w:top w:type="dxa" w:w="70"/>
              <w:left w:type="dxa" w:w="90"/>
              <w:bottom w:type="dxa" w:w="70"/>
              <w:right w:type="dxa" w:w="90"/>
            </w:tcMar>
            <w:vAlign w:val="center"/>
          </w:tcPr>
          <w:p>
            <w:r>
              <w:rPr>
                <w:rFonts w:ascii="Arial" w:cs="Arial" w:eastAsia="Arial" w:hAnsi="Arial"/>
                <w:b w:val="false"/>
                <w:bCs w:val="false"/>
                <w:color w:val="000000"/>
                <w:sz w:val="16"/>
                <w:szCs w:val="16"/>
              </w:rPr>
              <w:t xml:space="preserve">B.Tech Computer Science &amp; Engineering (CSE) — Semester 5, 3rd Year</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vAlign w:val="center"/>
          </w:tcPr>
          <w:p>
            <w:r>
              <w:rPr>
                <w:rFonts w:ascii="Arial" w:cs="Arial" w:eastAsia="Arial" w:hAnsi="Arial"/>
                <w:b/>
                <w:bCs/>
                <w:color w:val="000000"/>
                <w:sz w:val="17"/>
                <w:szCs w:val="17"/>
              </w:rPr>
              <w:t xml:space="preserve">Sagar R</w:t>
            </w:r>
          </w:p>
        </w:tc>
        <w:tc>
          <w:tcPr>
            <w:tcW w:type="dxa" w:w="440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vAlign w:val="center"/>
          </w:tcPr>
          <w:p>
            <w:r>
              <w:rPr>
                <w:rFonts w:ascii="Arial" w:cs="Arial" w:eastAsia="Arial" w:hAnsi="Arial"/>
                <w:b w:val="false"/>
                <w:bCs w:val="false"/>
                <w:color w:val="000000"/>
                <w:sz w:val="16"/>
                <w:szCs w:val="16"/>
              </w:rPr>
              <w:t xml:space="preserve">Frontend — farmer booking flow, offline-first PWA, IndexedDB token cache</w:t>
            </w:r>
          </w:p>
        </w:tc>
        <w:tc>
          <w:tcPr>
            <w:tcW w:type="dxa" w:w="344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vAlign w:val="center"/>
          </w:tcPr>
          <w:p>
            <w:r>
              <w:rPr>
                <w:rFonts w:ascii="Arial" w:cs="Arial" w:eastAsia="Arial" w:hAnsi="Arial"/>
                <w:b w:val="false"/>
                <w:bCs w:val="false"/>
                <w:color w:val="000000"/>
                <w:sz w:val="16"/>
                <w:szCs w:val="16"/>
              </w:rPr>
              <w:t xml:space="preserve">B.Tech Computer Science &amp; Engineering (CSE) — Semester 5, 3rd Year</w:t>
            </w:r>
          </w:p>
        </w:tc>
      </w:tr>
      <w:tr>
        <w:tc>
          <w:tcPr>
            <w:tcW w:type="dxa" w:w="2600"/>
            <w:tcBorders>
              <w:top w:val="single" w:color="AAAAAA" w:sz="1"/>
              <w:left w:val="single" w:color="AAAAAA" w:sz="1"/>
              <w:bottom w:val="single" w:color="AAAAAA" w:sz="1"/>
              <w:right w:val="single" w:color="AAAAAA" w:sz="1"/>
            </w:tcBorders>
            <w:shd w:fill="F4F6F7" w:val="clear"/>
            <w:tcMar>
              <w:top w:type="dxa" w:w="70"/>
              <w:left w:type="dxa" w:w="90"/>
              <w:bottom w:type="dxa" w:w="70"/>
              <w:right w:type="dxa" w:w="90"/>
            </w:tcMar>
            <w:vAlign w:val="center"/>
          </w:tcPr>
          <w:p>
            <w:r>
              <w:rPr>
                <w:rFonts w:ascii="Arial" w:cs="Arial" w:eastAsia="Arial" w:hAnsi="Arial"/>
                <w:b/>
                <w:bCs/>
                <w:color w:val="000000"/>
                <w:sz w:val="17"/>
                <w:szCs w:val="17"/>
              </w:rPr>
              <w:t xml:space="preserve">Dileep C V</w:t>
            </w:r>
          </w:p>
        </w:tc>
        <w:tc>
          <w:tcPr>
            <w:tcW w:type="dxa" w:w="4400"/>
            <w:tcBorders>
              <w:top w:val="single" w:color="AAAAAA" w:sz="1"/>
              <w:left w:val="single" w:color="AAAAAA" w:sz="1"/>
              <w:bottom w:val="single" w:color="AAAAAA" w:sz="1"/>
              <w:right w:val="single" w:color="AAAAAA" w:sz="1"/>
            </w:tcBorders>
            <w:shd w:fill="F4F6F7" w:val="clear"/>
            <w:tcMar>
              <w:top w:type="dxa" w:w="70"/>
              <w:left w:type="dxa" w:w="90"/>
              <w:bottom w:type="dxa" w:w="70"/>
              <w:right w:type="dxa" w:w="90"/>
            </w:tcMar>
            <w:vAlign w:val="center"/>
          </w:tcPr>
          <w:p>
            <w:r>
              <w:rPr>
                <w:rFonts w:ascii="Arial" w:cs="Arial" w:eastAsia="Arial" w:hAnsi="Arial"/>
                <w:b w:val="false"/>
                <w:bCs w:val="false"/>
                <w:color w:val="000000"/>
                <w:sz w:val="16"/>
                <w:szCs w:val="16"/>
              </w:rPr>
              <w:t xml:space="preserve">Frontend — live status tracker, QR token generation &amp; scan, numeric fallback</w:t>
            </w:r>
          </w:p>
        </w:tc>
        <w:tc>
          <w:tcPr>
            <w:tcW w:type="dxa" w:w="3440"/>
            <w:tcBorders>
              <w:top w:val="single" w:color="AAAAAA" w:sz="1"/>
              <w:left w:val="single" w:color="AAAAAA" w:sz="1"/>
              <w:bottom w:val="single" w:color="AAAAAA" w:sz="1"/>
              <w:right w:val="single" w:color="AAAAAA" w:sz="1"/>
            </w:tcBorders>
            <w:shd w:fill="F4F6F7" w:val="clear"/>
            <w:tcMar>
              <w:top w:type="dxa" w:w="70"/>
              <w:left w:type="dxa" w:w="90"/>
              <w:bottom w:type="dxa" w:w="70"/>
              <w:right w:type="dxa" w:w="90"/>
            </w:tcMar>
            <w:vAlign w:val="center"/>
          </w:tcPr>
          <w:p>
            <w:r>
              <w:rPr>
                <w:rFonts w:ascii="Arial" w:cs="Arial" w:eastAsia="Arial" w:hAnsi="Arial"/>
                <w:b w:val="false"/>
                <w:bCs w:val="false"/>
                <w:color w:val="000000"/>
                <w:sz w:val="16"/>
                <w:szCs w:val="16"/>
              </w:rPr>
              <w:t xml:space="preserve">B.Tech CSE (IoT &amp; Cyber Security) — Semester 5, 3rd Year</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vAlign w:val="center"/>
          </w:tcPr>
          <w:p>
            <w:r>
              <w:rPr>
                <w:rFonts w:ascii="Arial" w:cs="Arial" w:eastAsia="Arial" w:hAnsi="Arial"/>
                <w:b/>
                <w:bCs/>
                <w:color w:val="000000"/>
                <w:sz w:val="17"/>
                <w:szCs w:val="17"/>
              </w:rPr>
              <w:t xml:space="preserve">Swapnil Shivaji Vanarase</w:t>
            </w:r>
          </w:p>
        </w:tc>
        <w:tc>
          <w:tcPr>
            <w:tcW w:type="dxa" w:w="440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vAlign w:val="center"/>
          </w:tcPr>
          <w:p>
            <w:r>
              <w:rPr>
                <w:rFonts w:ascii="Arial" w:cs="Arial" w:eastAsia="Arial" w:hAnsi="Arial"/>
                <w:b w:val="false"/>
                <w:bCs w:val="false"/>
                <w:color w:val="000000"/>
                <w:sz w:val="16"/>
                <w:szCs w:val="16"/>
              </w:rPr>
              <w:t xml:space="preserve">Full-Stack — admin dashboard, capacity analytics, pilot metrics</w:t>
            </w:r>
          </w:p>
        </w:tc>
        <w:tc>
          <w:tcPr>
            <w:tcW w:type="dxa" w:w="344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vAlign w:val="center"/>
          </w:tcPr>
          <w:p>
            <w:r>
              <w:rPr>
                <w:rFonts w:ascii="Arial" w:cs="Arial" w:eastAsia="Arial" w:hAnsi="Arial"/>
                <w:b w:val="false"/>
                <w:bCs w:val="false"/>
                <w:color w:val="000000"/>
                <w:sz w:val="16"/>
                <w:szCs w:val="16"/>
              </w:rPr>
              <w:t xml:space="preserve">B.Tech Computer Science &amp; Engineering (CSE) — Semester 5, 3rd Year</w:t>
            </w:r>
          </w:p>
        </w:tc>
      </w:tr>
      <w:tr>
        <w:tc>
          <w:tcPr>
            <w:tcW w:type="dxa" w:w="2600"/>
            <w:tcBorders>
              <w:top w:val="single" w:color="AAAAAA" w:sz="1"/>
              <w:left w:val="single" w:color="AAAAAA" w:sz="1"/>
              <w:bottom w:val="single" w:color="AAAAAA" w:sz="1"/>
              <w:right w:val="single" w:color="AAAAAA" w:sz="1"/>
            </w:tcBorders>
            <w:shd w:fill="F4F6F7" w:val="clear"/>
            <w:tcMar>
              <w:top w:type="dxa" w:w="70"/>
              <w:left w:type="dxa" w:w="90"/>
              <w:bottom w:type="dxa" w:w="70"/>
              <w:right w:type="dxa" w:w="90"/>
            </w:tcMar>
            <w:vAlign w:val="center"/>
          </w:tcPr>
          <w:p>
            <w:r>
              <w:rPr>
                <w:rFonts w:ascii="Arial" w:cs="Arial" w:eastAsia="Arial" w:hAnsi="Arial"/>
                <w:b/>
                <w:bCs/>
                <w:color w:val="000000"/>
                <w:sz w:val="17"/>
                <w:szCs w:val="17"/>
              </w:rPr>
              <w:t xml:space="preserve">G Shree Raksha</w:t>
            </w:r>
          </w:p>
        </w:tc>
        <w:tc>
          <w:tcPr>
            <w:tcW w:type="dxa" w:w="4400"/>
            <w:tcBorders>
              <w:top w:val="single" w:color="AAAAAA" w:sz="1"/>
              <w:left w:val="single" w:color="AAAAAA" w:sz="1"/>
              <w:bottom w:val="single" w:color="AAAAAA" w:sz="1"/>
              <w:right w:val="single" w:color="AAAAAA" w:sz="1"/>
            </w:tcBorders>
            <w:shd w:fill="F4F6F7" w:val="clear"/>
            <w:tcMar>
              <w:top w:type="dxa" w:w="70"/>
              <w:left w:type="dxa" w:w="90"/>
              <w:bottom w:type="dxa" w:w="70"/>
              <w:right w:type="dxa" w:w="90"/>
            </w:tcMar>
            <w:vAlign w:val="center"/>
          </w:tcPr>
          <w:p>
            <w:r>
              <w:rPr>
                <w:rFonts w:ascii="Arial" w:cs="Arial" w:eastAsia="Arial" w:hAnsi="Arial"/>
                <w:b w:val="false"/>
                <w:bCs w:val="false"/>
                <w:color w:val="000000"/>
                <w:sz w:val="16"/>
                <w:szCs w:val="16"/>
              </w:rPr>
              <w:t xml:space="preserve">Design, Deployment &amp; Pitch — multilingual UX (EN/HI/KN), accessibility, demo</w:t>
            </w:r>
          </w:p>
        </w:tc>
        <w:tc>
          <w:tcPr>
            <w:tcW w:type="dxa" w:w="3440"/>
            <w:tcBorders>
              <w:top w:val="single" w:color="AAAAAA" w:sz="1"/>
              <w:left w:val="single" w:color="AAAAAA" w:sz="1"/>
              <w:bottom w:val="single" w:color="AAAAAA" w:sz="1"/>
              <w:right w:val="single" w:color="AAAAAA" w:sz="1"/>
            </w:tcBorders>
            <w:shd w:fill="F4F6F7" w:val="clear"/>
            <w:tcMar>
              <w:top w:type="dxa" w:w="70"/>
              <w:left w:type="dxa" w:w="90"/>
              <w:bottom w:type="dxa" w:w="70"/>
              <w:right w:type="dxa" w:w="90"/>
            </w:tcMar>
            <w:vAlign w:val="center"/>
          </w:tcPr>
          <w:p>
            <w:r>
              <w:rPr>
                <w:rFonts w:ascii="Arial" w:cs="Arial" w:eastAsia="Arial" w:hAnsi="Arial"/>
                <w:b w:val="false"/>
                <w:bCs w:val="false"/>
                <w:color w:val="000000"/>
                <w:sz w:val="16"/>
                <w:szCs w:val="16"/>
              </w:rPr>
              <w:t xml:space="preserve">B.Tech Computer Science &amp; Engineering (CSE) — Semester 5, 3rd Year</w:t>
            </w:r>
          </w:p>
        </w:tc>
      </w:tr>
    </w:tbl>
    <w:p>
      <w:pPr>
        <w:pStyle w:val="Heading1"/>
        <w:spacing w:after="160" w:before="320"/>
      </w:pPr>
      <w:r>
        <w:rPr>
          <w:rFonts w:ascii="Arial" w:cs="Arial" w:eastAsia="Arial" w:hAnsi="Arial"/>
          <w:b/>
          <w:bCs/>
          <w:color w:val="1F4E79"/>
          <w:sz w:val="28"/>
          <w:szCs w:val="28"/>
        </w:rPr>
        <w:t xml:space="preserve">2. Understand the Problem</w:t>
      </w:r>
    </w:p>
    <w:p>
      <w:pPr>
        <w:spacing w:after="80"/>
      </w:pPr>
      <w:r>
        <w:rPr>
          <w:rFonts w:ascii="Arial" w:cs="Arial" w:eastAsia="Arial" w:hAnsi="Arial"/>
          <w:i/>
          <w:iCs/>
          <w:color w:val="555555"/>
          <w:sz w:val="20"/>
          <w:szCs w:val="20"/>
        </w:rPr>
        <w:t xml:space="preserve">In your own words, what is the problem? Who faces it, and how often? Why does this problem happen in the first place?</w:t>
      </w:r>
    </w:p>
    <w:p>
      <w:pPr>
        <w:spacing w:after="120" w:line="276"/>
        <w:jc w:val="both"/>
      </w:pPr>
      <w:r>
        <w:rPr>
          <w:rFonts w:ascii="Arial" w:cs="Arial" w:eastAsia="Arial" w:hAnsi="Arial"/>
          <w:sz w:val="22"/>
          <w:szCs w:val="22"/>
        </w:rPr>
        <w:t xml:space="preserve">Farmers who grow wheat or paddy sell their crop to government mandis at a fixed price called MSP, administered nationally by the Ministry of Consumer Affairs, Food &amp; Public Distribution through state procurement agencies and the Food Corporation of India. The root cause is structural, not accidental: the MSP procurement window is short and fixed by season, but arrival at the mandi is first-come-first-served with no capacity-aware scheduling layer. Every farmer in the catchment area therefore converges on the same one or two centres in the same two-to-three-week window.</w:t>
      </w:r>
    </w:p>
    <w:p>
      <w:pPr>
        <w:spacing w:after="120" w:line="276"/>
        <w:jc w:val="both"/>
      </w:pPr>
      <w:r>
        <w:rPr>
          <w:rFonts w:ascii="Arial" w:cs="Arial" w:eastAsia="Arial" w:hAnsi="Arial"/>
          <w:sz w:val="22"/>
          <w:szCs w:val="22"/>
        </w:rPr>
        <w:t xml:space="preserve">Mandi infrastructure — weighing bridges, grading staff, storage yards — was built for a much smaller trade volume and has not scaled with the number of registered sellers. Nationally, 22.31 lakh farmers were paid under wheat MSP in RMS 2024-25 alone (₹59,715 crore outflow); paddy procurement in KMS 2023-24 crossed 728 lakh metric tonnes from roughly 98 lakh farmers. With no visibility into how full a mandi already is on a given hour, thousands of farmers show up at once and end up waiting in tractor trolleys for 48 to 72 hours on the road outside.</w:t>
      </w:r>
    </w:p>
    <w:p>
      <w:pPr>
        <w:spacing w:after="120" w:line="276"/>
        <w:jc w:val="both"/>
      </w:pPr>
      <w:r>
        <w:rPr>
          <w:rFonts w:ascii="Arial" w:cs="Arial" w:eastAsia="Arial" w:hAnsi="Arial"/>
          <w:sz w:val="22"/>
          <w:szCs w:val="22"/>
        </w:rPr>
        <w:t xml:space="preserve">Because the grain sits out in the open that whole time, even a bit of unseasonal rain makes it damp, which drops its quality grade and means the farmer gets paid less for the same crop. Once the crop is finally sold, payment is delayed another 7 to 14 days because paperwork is still processed manually in many centres. This pattern repeats twice a year, every harvest season, for lakhs of farmers across India — documented repeatedly in Punjab, Haryana, Madhya Pradesh, Andhra Pradesh and Rajasthan in the 2024–2026 seasons.</w:t>
      </w:r>
    </w:p>
    <w:p>
      <w:pPr>
        <w:spacing w:after="100" w:line="276"/>
        <w:jc w:val="both"/>
      </w:pPr>
      <w:r>
        <w:rPr>
          <w:rFonts w:ascii="Arial" w:cs="Arial" w:eastAsia="Arial" w:hAnsi="Arial"/>
          <w:b/>
          <w:bCs/>
          <w:sz w:val="22"/>
          <w:szCs w:val="22"/>
        </w:rPr>
        <w:t xml:space="preserve">Who faces it:</w:t>
      </w:r>
    </w:p>
    <w:p>
      <w:pPr>
        <w:pStyle w:val="ListParagraph"/>
        <w:numPr>
          <w:ilvl w:val="0"/>
          <w:numId w:val="2"/>
        </w:numPr>
        <w:spacing w:after="70" w:line="276"/>
      </w:pPr>
      <w:r>
        <w:rPr>
          <w:rFonts w:ascii="Arial" w:cs="Arial" w:eastAsia="Arial" w:hAnsi="Arial"/>
          <w:sz w:val="22"/>
          <w:szCs w:val="22"/>
        </w:rPr>
        <w:t xml:space="preserve">Primary: Small and marginal farmers selling wheat (Rabi) and paddy (Kharif) under MSP.</w:t>
      </w:r>
    </w:p>
    <w:p>
      <w:pPr>
        <w:pStyle w:val="ListParagraph"/>
        <w:numPr>
          <w:ilvl w:val="0"/>
          <w:numId w:val="2"/>
        </w:numPr>
        <w:spacing w:after="70" w:line="276"/>
      </w:pPr>
      <w:r>
        <w:rPr>
          <w:rFonts w:ascii="Arial" w:cs="Arial" w:eastAsia="Arial" w:hAnsi="Arial"/>
          <w:sz w:val="22"/>
          <w:szCs w:val="22"/>
        </w:rPr>
        <w:t xml:space="preserve">Secondary: Mandi staff and state Food &amp; Civil Supplies officers who currently manage chaos with paper tokens and informal queues.</w:t>
      </w:r>
    </w:p>
    <w:p>
      <w:pPr>
        <w:pStyle w:val="ListParagraph"/>
        <w:numPr>
          <w:ilvl w:val="0"/>
          <w:numId w:val="2"/>
        </w:numPr>
        <w:spacing w:after="70" w:line="276"/>
      </w:pPr>
      <w:r>
        <w:rPr>
          <w:rFonts w:ascii="Arial" w:cs="Arial" w:eastAsia="Arial" w:hAnsi="Arial"/>
          <w:sz w:val="22"/>
          <w:szCs w:val="22"/>
        </w:rPr>
        <w:t xml:space="preserve">Frequency: Twice every year, every marketing season, across all major producing states.</w:t>
      </w:r>
    </w:p>
    <w:p>
      <w:pPr>
        <w:pStyle w:val="Heading1"/>
        <w:spacing w:after="160" w:before="320"/>
      </w:pPr>
      <w:r>
        <w:rPr>
          <w:rFonts w:ascii="Arial" w:cs="Arial" w:eastAsia="Arial" w:hAnsi="Arial"/>
          <w:b/>
          <w:bCs/>
          <w:color w:val="1F4E79"/>
          <w:sz w:val="28"/>
          <w:szCs w:val="28"/>
        </w:rPr>
        <w:t xml:space="preserve">3. Has This Been Solved Before?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4440"/>
        <w:gridCol w:w="3400"/>
      </w:tblGrid>
      <w:tr>
        <w:tc>
          <w:tcPr>
            <w:tcW w:type="dxa" w:w="2600"/>
            <w:tcBorders>
              <w:top w:val="single" w:color="1F4E79" w:sz="1"/>
              <w:left w:val="single" w:color="1F4E79" w:sz="1"/>
              <w:bottom w:val="single" w:color="1F4E79" w:sz="1"/>
              <w:right w:val="single" w:color="1F4E79" w:sz="1"/>
            </w:tcBorders>
            <w:shd w:fill="1F4E79" w:val="clear"/>
            <w:tcMar>
              <w:top w:type="dxa" w:w="70"/>
              <w:left w:type="dxa" w:w="90"/>
              <w:bottom w:type="dxa" w:w="70"/>
              <w:right w:type="dxa" w:w="90"/>
            </w:tcMar>
            <w:vAlign w:val="center"/>
          </w:tcPr>
          <w:p>
            <w:r>
              <w:rPr>
                <w:rFonts w:ascii="Arial" w:cs="Arial" w:eastAsia="Arial" w:hAnsi="Arial"/>
                <w:b/>
                <w:bCs/>
                <w:color w:val="FFFFFF"/>
                <w:sz w:val="16"/>
                <w:szCs w:val="16"/>
              </w:rPr>
              <w:t xml:space="preserve">What already exists (app / product / paper)</w:t>
            </w:r>
          </w:p>
        </w:tc>
        <w:tc>
          <w:tcPr>
            <w:tcW w:type="dxa" w:w="4440"/>
            <w:tcBorders>
              <w:top w:val="single" w:color="1F4E79" w:sz="1"/>
              <w:left w:val="single" w:color="1F4E79" w:sz="1"/>
              <w:bottom w:val="single" w:color="1F4E79" w:sz="1"/>
              <w:right w:val="single" w:color="1F4E79" w:sz="1"/>
            </w:tcBorders>
            <w:shd w:fill="1F4E79" w:val="clear"/>
            <w:tcMar>
              <w:top w:type="dxa" w:w="70"/>
              <w:left w:type="dxa" w:w="90"/>
              <w:bottom w:type="dxa" w:w="70"/>
              <w:right w:type="dxa" w:w="90"/>
            </w:tcMar>
            <w:vAlign w:val="center"/>
          </w:tcPr>
          <w:p>
            <w:r>
              <w:rPr>
                <w:rFonts w:ascii="Arial" w:cs="Arial" w:eastAsia="Arial" w:hAnsi="Arial"/>
                <w:b/>
                <w:bCs/>
                <w:color w:val="FFFFFF"/>
                <w:sz w:val="16"/>
                <w:szCs w:val="16"/>
              </w:rPr>
              <w:t xml:space="preserve">What it does well / where it falls short</w:t>
            </w:r>
          </w:p>
        </w:tc>
        <w:tc>
          <w:tcPr>
            <w:tcW w:type="dxa" w:w="3400"/>
            <w:tcBorders>
              <w:top w:val="single" w:color="1F4E79" w:sz="1"/>
              <w:left w:val="single" w:color="1F4E79" w:sz="1"/>
              <w:bottom w:val="single" w:color="1F4E79" w:sz="1"/>
              <w:right w:val="single" w:color="1F4E79" w:sz="1"/>
            </w:tcBorders>
            <w:shd w:fill="1F4E79" w:val="clear"/>
            <w:tcMar>
              <w:top w:type="dxa" w:w="70"/>
              <w:left w:type="dxa" w:w="90"/>
              <w:bottom w:type="dxa" w:w="70"/>
              <w:right w:type="dxa" w:w="90"/>
            </w:tcMar>
            <w:vAlign w:val="center"/>
          </w:tcPr>
          <w:p>
            <w:r>
              <w:rPr>
                <w:rFonts w:ascii="Arial" w:cs="Arial" w:eastAsia="Arial" w:hAnsi="Arial"/>
                <w:b/>
                <w:bCs/>
                <w:color w:val="FFFFFF"/>
                <w:sz w:val="16"/>
                <w:szCs w:val="16"/>
              </w:rPr>
              <w:t xml:space="preserve">Link / Source</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tcPr>
          <w:p>
            <w:r>
              <w:rPr>
                <w:rFonts w:ascii="Arial" w:cs="Arial" w:eastAsia="Arial" w:hAnsi="Arial"/>
                <w:b/>
                <w:bCs/>
                <w:sz w:val="16"/>
                <w:szCs w:val="16"/>
              </w:rPr>
              <w:t xml:space="preserve">e-Kharid (Haryana Government portal)</w:t>
            </w:r>
          </w:p>
        </w:tc>
        <w:tc>
          <w:tcPr>
            <w:tcW w:type="dxa" w:w="444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tcPr>
          <w:p>
            <w:r>
              <w:rPr>
                <w:rFonts w:ascii="Arial" w:cs="Arial" w:eastAsia="Arial" w:hAnsi="Arial"/>
                <w:sz w:val="15"/>
                <w:szCs w:val="15"/>
              </w:rPr>
              <w:t xml:space="preserve">Sends SMS about scheduled procurement date and pays within ~72 hours. Once the farmer is actually in line, there is no way to see live personal status. Network failures at gate have been reported.</w:t>
            </w:r>
          </w:p>
        </w:tc>
        <w:tc>
          <w:tcPr>
            <w:tcW w:type="dxa" w:w="340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tcPr>
          <w:p>
            <w:r>
              <w:rPr>
                <w:rFonts w:ascii="Arial" w:cs="Arial" w:eastAsia="Arial" w:hAnsi="Arial"/>
                <w:color w:val="0563C1"/>
                <w:sz w:val="14"/>
                <w:szCs w:val="14"/>
              </w:rPr>
              <w:t xml:space="preserve">https://ekharid.haryana.gov.in</w:t>
            </w:r>
          </w:p>
        </w:tc>
      </w:tr>
      <w:tr>
        <w:tc>
          <w:tcPr>
            <w:tcW w:type="dxa" w:w="2600"/>
            <w:tcBorders>
              <w:top w:val="single" w:color="AAAAAA" w:sz="1"/>
              <w:left w:val="single" w:color="AAAAAA" w:sz="1"/>
              <w:bottom w:val="single" w:color="AAAAAA" w:sz="1"/>
              <w:right w:val="single" w:color="AAAAAA" w:sz="1"/>
            </w:tcBorders>
            <w:shd w:fill="F4F6F7" w:val="clear"/>
            <w:tcMar>
              <w:top w:type="dxa" w:w="70"/>
              <w:left w:type="dxa" w:w="90"/>
              <w:bottom w:type="dxa" w:w="70"/>
              <w:right w:type="dxa" w:w="90"/>
            </w:tcMar>
          </w:tcPr>
          <w:p>
            <w:r>
              <w:rPr>
                <w:rFonts w:ascii="Arial" w:cs="Arial" w:eastAsia="Arial" w:hAnsi="Arial"/>
                <w:b/>
                <w:bCs/>
                <w:sz w:val="16"/>
                <w:szCs w:val="16"/>
              </w:rPr>
              <w:t xml:space="preserve">Anaaj Kharid (Punjab Government portal)</w:t>
            </w:r>
          </w:p>
        </w:tc>
        <w:tc>
          <w:tcPr>
            <w:tcW w:type="dxa" w:w="4440"/>
            <w:tcBorders>
              <w:top w:val="single" w:color="AAAAAA" w:sz="1"/>
              <w:left w:val="single" w:color="AAAAAA" w:sz="1"/>
              <w:bottom w:val="single" w:color="AAAAAA" w:sz="1"/>
              <w:right w:val="single" w:color="AAAAAA" w:sz="1"/>
            </w:tcBorders>
            <w:shd w:fill="F4F6F7" w:val="clear"/>
            <w:tcMar>
              <w:top w:type="dxa" w:w="70"/>
              <w:left w:type="dxa" w:w="90"/>
              <w:bottom w:type="dxa" w:w="70"/>
              <w:right w:type="dxa" w:w="90"/>
            </w:tcMar>
          </w:tcPr>
          <w:p>
            <w:r>
              <w:rPr>
                <w:rFonts w:ascii="Arial" w:cs="Arial" w:eastAsia="Arial" w:hAnsi="Arial"/>
                <w:sz w:val="15"/>
                <w:szCs w:val="15"/>
              </w:rPr>
              <w:t xml:space="preserve">Lets farmers register, see assigned centre, and get paid within ~48 hours. Same residual gap — no real-time tracking once physically arrived at the mandi.</w:t>
            </w:r>
          </w:p>
        </w:tc>
        <w:tc>
          <w:tcPr>
            <w:tcW w:type="dxa" w:w="3400"/>
            <w:tcBorders>
              <w:top w:val="single" w:color="AAAAAA" w:sz="1"/>
              <w:left w:val="single" w:color="AAAAAA" w:sz="1"/>
              <w:bottom w:val="single" w:color="AAAAAA" w:sz="1"/>
              <w:right w:val="single" w:color="AAAAAA" w:sz="1"/>
            </w:tcBorders>
            <w:shd w:fill="F4F6F7" w:val="clear"/>
            <w:tcMar>
              <w:top w:type="dxa" w:w="70"/>
              <w:left w:type="dxa" w:w="90"/>
              <w:bottom w:type="dxa" w:w="70"/>
              <w:right w:type="dxa" w:w="90"/>
            </w:tcMar>
          </w:tcPr>
          <w:p>
            <w:r>
              <w:rPr>
                <w:rFonts w:ascii="Arial" w:cs="Arial" w:eastAsia="Arial" w:hAnsi="Arial"/>
                <w:color w:val="0563C1"/>
                <w:sz w:val="14"/>
                <w:szCs w:val="14"/>
              </w:rPr>
              <w:t xml:space="preserve">https://anaajkharid.in</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tcPr>
          <w:p>
            <w:r>
              <w:rPr>
                <w:rFonts w:ascii="Arial" w:cs="Arial" w:eastAsia="Arial" w:hAnsi="Arial"/>
                <w:b/>
                <w:bCs/>
                <w:sz w:val="16"/>
                <w:szCs w:val="16"/>
              </w:rPr>
              <w:t xml:space="preserve">e-Uparjan (Madhya Pradesh Government portal)</w:t>
            </w:r>
          </w:p>
        </w:tc>
        <w:tc>
          <w:tcPr>
            <w:tcW w:type="dxa" w:w="444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tcPr>
          <w:p>
            <w:r>
              <w:rPr>
                <w:rFonts w:ascii="Arial" w:cs="Arial" w:eastAsia="Arial" w:hAnsi="Arial"/>
                <w:sz w:val="15"/>
                <w:szCs w:val="15"/>
              </w:rPr>
              <w:t xml:space="preserve">Lets farmers register crops online, book a wheat/paddy slot, and see a real-time dashboard of procurement status across 2,800+ centres. The portal itself is a web form, not a live per-farmer status feed once the farmer is physically in the queue.</w:t>
            </w:r>
          </w:p>
        </w:tc>
        <w:tc>
          <w:tcPr>
            <w:tcW w:type="dxa" w:w="340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tcPr>
          <w:p>
            <w:r>
              <w:rPr>
                <w:rFonts w:ascii="Arial" w:cs="Arial" w:eastAsia="Arial" w:hAnsi="Arial"/>
                <w:color w:val="0563C1"/>
                <w:sz w:val="14"/>
                <w:szCs w:val="14"/>
              </w:rPr>
              <w:t xml:space="preserve">http://mpeuparjan.nic.in</w:t>
            </w:r>
          </w:p>
        </w:tc>
      </w:tr>
      <w:tr>
        <w:tc>
          <w:tcPr>
            <w:tcW w:type="dxa" w:w="2600"/>
            <w:tcBorders>
              <w:top w:val="single" w:color="AAAAAA" w:sz="1"/>
              <w:left w:val="single" w:color="AAAAAA" w:sz="1"/>
              <w:bottom w:val="single" w:color="AAAAAA" w:sz="1"/>
              <w:right w:val="single" w:color="AAAAAA" w:sz="1"/>
            </w:tcBorders>
            <w:shd w:fill="F4F6F7" w:val="clear"/>
            <w:tcMar>
              <w:top w:type="dxa" w:w="70"/>
              <w:left w:type="dxa" w:w="90"/>
              <w:bottom w:type="dxa" w:w="70"/>
              <w:right w:type="dxa" w:w="90"/>
            </w:tcMar>
          </w:tcPr>
          <w:p>
            <w:r>
              <w:rPr>
                <w:rFonts w:ascii="Arial" w:cs="Arial" w:eastAsia="Arial" w:hAnsi="Arial"/>
                <w:b/>
                <w:bCs/>
                <w:sz w:val="16"/>
                <w:szCs w:val="16"/>
              </w:rPr>
              <w:t xml:space="preserve">Meri Fasal Mera Byora token system (Haryana)</w:t>
            </w:r>
          </w:p>
        </w:tc>
        <w:tc>
          <w:tcPr>
            <w:tcW w:type="dxa" w:w="4440"/>
            <w:tcBorders>
              <w:top w:val="single" w:color="AAAAAA" w:sz="1"/>
              <w:left w:val="single" w:color="AAAAAA" w:sz="1"/>
              <w:bottom w:val="single" w:color="AAAAAA" w:sz="1"/>
              <w:right w:val="single" w:color="AAAAAA" w:sz="1"/>
            </w:tcBorders>
            <w:shd w:fill="F4F6F7" w:val="clear"/>
            <w:tcMar>
              <w:top w:type="dxa" w:w="70"/>
              <w:left w:type="dxa" w:w="90"/>
              <w:bottom w:type="dxa" w:w="70"/>
              <w:right w:type="dxa" w:w="90"/>
            </w:tcMar>
          </w:tcPr>
          <w:p>
            <w:r>
              <w:rPr>
                <w:rFonts w:ascii="Arial" w:cs="Arial" w:eastAsia="Arial" w:hAnsi="Arial"/>
                <w:sz w:val="15"/>
                <w:szCs w:val="15"/>
              </w:rPr>
              <w:t xml:space="preserve">Handles crop registration and MSP linkage well, but the token/slot rollout hit real reliability problems: an October 2025 rollout in Sirsa left farmers queuing for hours after the app repeatedly froze and location-based OTP verification failed for many.</w:t>
            </w:r>
          </w:p>
        </w:tc>
        <w:tc>
          <w:tcPr>
            <w:tcW w:type="dxa" w:w="3400"/>
            <w:tcBorders>
              <w:top w:val="single" w:color="AAAAAA" w:sz="1"/>
              <w:left w:val="single" w:color="AAAAAA" w:sz="1"/>
              <w:bottom w:val="single" w:color="AAAAAA" w:sz="1"/>
              <w:right w:val="single" w:color="AAAAAA" w:sz="1"/>
            </w:tcBorders>
            <w:shd w:fill="F4F6F7" w:val="clear"/>
            <w:tcMar>
              <w:top w:type="dxa" w:w="70"/>
              <w:left w:type="dxa" w:w="90"/>
              <w:bottom w:type="dxa" w:w="70"/>
              <w:right w:type="dxa" w:w="90"/>
            </w:tcMar>
          </w:tcPr>
          <w:p>
            <w:r>
              <w:rPr>
                <w:rFonts w:ascii="Arial" w:cs="Arial" w:eastAsia="Arial" w:hAnsi="Arial"/>
                <w:sz w:val="14"/>
                <w:szCs w:val="14"/>
              </w:rPr>
              <w:t xml:space="preserve">https://fasal.haryana.gov.in ; The Tribune, Oct 2025</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tcPr>
          <w:p>
            <w:r>
              <w:rPr>
                <w:rFonts w:ascii="Arial" w:cs="Arial" w:eastAsia="Arial" w:hAnsi="Arial"/>
                <w:b/>
                <w:bCs/>
                <w:sz w:val="16"/>
                <w:szCs w:val="16"/>
              </w:rPr>
              <w:t xml:space="preserve">Kapas Kisaan (Cotton Corporation of India, national)</w:t>
            </w:r>
          </w:p>
        </w:tc>
        <w:tc>
          <w:tcPr>
            <w:tcW w:type="dxa" w:w="444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tcPr>
          <w:p>
            <w:r>
              <w:rPr>
                <w:rFonts w:ascii="Arial" w:cs="Arial" w:eastAsia="Arial" w:hAnsi="Arial"/>
                <w:sz w:val="15"/>
                <w:szCs w:val="15"/>
              </w:rPr>
              <w:t xml:space="preserve">Offers Aadhaar-based self-registration and 7-day rolling slot booking for cotton MSP in 9 languages. Farmers’ rights groups reported widespread confusion over how slot booking works and stalled procurement for flood-hit Telangana farmers in November 2025 due to low digital literacy and no local assistance.</w:t>
            </w:r>
          </w:p>
        </w:tc>
        <w:tc>
          <w:tcPr>
            <w:tcW w:type="dxa" w:w="340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tcPr>
          <w:p>
            <w:r>
              <w:rPr>
                <w:rFonts w:ascii="Arial" w:cs="Arial" w:eastAsia="Arial" w:hAnsi="Arial"/>
                <w:sz w:val="14"/>
                <w:szCs w:val="14"/>
              </w:rPr>
              <w:t xml:space="preserve">Cotton Corporation of India (CCI) — app-only, no public web portal</w:t>
            </w:r>
          </w:p>
        </w:tc>
      </w:tr>
    </w:tbl>
    <w:p>
      <w:pPr>
        <w:spacing w:after="80" w:before="160"/>
      </w:pPr>
      <w:r>
        <w:rPr>
          <w:rFonts w:ascii="Arial" w:cs="Arial" w:eastAsia="Arial" w:hAnsi="Arial"/>
          <w:b/>
          <w:bCs/>
          <w:sz w:val="22"/>
          <w:szCs w:val="22"/>
        </w:rPr>
        <w:t xml:space="preserve">Based on what we found, what’s still missing? That gap is our opportunity. </w:t>
      </w:r>
      <w:r>
        <w:rPr>
          <w:rFonts w:ascii="Arial" w:cs="Arial" w:eastAsia="Arial" w:hAnsi="Arial"/>
          <w:sz w:val="22"/>
          <w:szCs w:val="22"/>
        </w:rPr>
        <w:t xml:space="preserve">None of the existing platforms combine (a) capacity-aware hourly slot booking, (b) a farmer-facing live status pipeline after physical arrival (Booked → Arrived → Weighed → Graded → Paid), and (c) a true offline-first single-use QR + numeric token that continues to work when the mandi has zero network. That three-part combination is the precise residual gap KisanQueue is built to close.</w:t>
      </w:r>
    </w:p>
    <w:p>
      <w:pPr>
        <w:pStyle w:val="Heading1"/>
        <w:spacing w:after="160" w:before="320"/>
      </w:pPr>
      <w:r>
        <w:rPr>
          <w:rFonts w:ascii="Arial" w:cs="Arial" w:eastAsia="Arial" w:hAnsi="Arial"/>
          <w:b/>
          <w:bCs/>
          <w:color w:val="1F4E79"/>
          <w:sz w:val="28"/>
          <w:szCs w:val="28"/>
        </w:rPr>
        <w:t xml:space="preserve">4. Our Idea</w:t>
      </w:r>
    </w:p>
    <w:p>
      <w:pPr>
        <w:spacing w:after="80"/>
      </w:pPr>
      <w:r>
        <w:rPr>
          <w:rFonts w:ascii="Arial" w:cs="Arial" w:eastAsia="Arial" w:hAnsi="Arial"/>
          <w:i/>
          <w:iCs/>
          <w:color w:val="555555"/>
          <w:sz w:val="20"/>
          <w:szCs w:val="20"/>
        </w:rPr>
        <w:t xml:space="preserve">What are you building, in one or two sentences? How does it actually work? How does it solve the problem you described in Section 2?</w:t>
      </w:r>
    </w:p>
    <w:p>
      <w:pPr>
        <w:spacing w:after="120" w:line="276"/>
        <w:jc w:val="both"/>
      </w:pPr>
      <w:r>
        <w:rPr>
          <w:rFonts w:ascii="Arial" w:cs="Arial" w:eastAsia="Arial" w:hAnsi="Arial"/>
          <w:sz w:val="22"/>
          <w:szCs w:val="22"/>
        </w:rPr>
        <w:t xml:space="preserve">We’re building KisanQueue — an offline-first app where a farmer books an exact date and time slot to bring their crop to a mandi, receives a single-use QR + 6-digit numeric token that works with zero internet, and then watches every subsequent step (Arrived → Weighed → Quality Checked → Payment Initiated → Paid) update live on their phone the moment mandi staff mark it.</w:t>
      </w:r>
    </w:p>
    <w:p>
      <w:pPr>
        <w:spacing w:after="100" w:line="276"/>
        <w:jc w:val="both"/>
      </w:pPr>
      <w:r>
        <w:rPr>
          <w:rFonts w:ascii="Arial" w:cs="Arial" w:eastAsia="Arial" w:hAnsi="Arial"/>
          <w:b/>
          <w:bCs/>
          <w:sz w:val="22"/>
          <w:szCs w:val="22"/>
        </w:rPr>
        <w:t xml:space="preserve">How it works (step-by-step):</w:t>
      </w:r>
    </w:p>
    <w:p>
      <w:pPr>
        <w:pStyle w:val="ListParagraph"/>
        <w:numPr>
          <w:ilvl w:val="0"/>
          <w:numId w:val="2"/>
        </w:numPr>
        <w:spacing w:after="70" w:line="276"/>
      </w:pPr>
      <w:r>
        <w:rPr>
          <w:rFonts w:ascii="Arial" w:cs="Arial" w:eastAsia="Arial" w:hAnsi="Arial"/>
          <w:sz w:val="22"/>
          <w:szCs w:val="22"/>
        </w:rPr>
        <w:t xml:space="preserve">Farmer opens the app (or receives an SMS link), picks a nearby mandi (GIS-assisted nearest centres), and selects a free hourly slot whose remaining capacity is computed from historical throughput + current bookings.</w:t>
      </w:r>
    </w:p>
    <w:p>
      <w:pPr>
        <w:pStyle w:val="ListParagraph"/>
        <w:numPr>
          <w:ilvl w:val="0"/>
          <w:numId w:val="2"/>
        </w:numPr>
        <w:spacing w:after="70" w:line="276"/>
      </w:pPr>
      <w:r>
        <w:rPr>
          <w:rFonts w:ascii="Arial" w:cs="Arial" w:eastAsia="Arial" w:hAnsi="Arial"/>
          <w:sz w:val="22"/>
          <w:szCs w:val="22"/>
        </w:rPr>
        <w:t xml:space="preserve">On confirmation the system issues a cryptographically signed QR + 6-digit numeric code. Both are immediately cached on-device (IndexedDB / local storage) so they remain usable even if the farmer loses signal before reaching the mandi. An SMS confirmation is also sent as fallback.</w:t>
      </w:r>
    </w:p>
    <w:p>
      <w:pPr>
        <w:pStyle w:val="ListParagraph"/>
        <w:numPr>
          <w:ilvl w:val="0"/>
          <w:numId w:val="2"/>
        </w:numPr>
        <w:spacing w:after="70" w:line="276"/>
      </w:pPr>
      <w:r>
        <w:rPr>
          <w:rFonts w:ascii="Arial" w:cs="Arial" w:eastAsia="Arial" w:hAnsi="Arial"/>
          <w:sz w:val="22"/>
          <w:szCs w:val="22"/>
        </w:rPr>
        <w:t xml:space="preserve">At the gate, mandi staff scan the QR or type the numeric code on a simple dashboard. The token is single-use and time-boxed at the database level; any repeat scan is rejected and flagged as a duplicate.</w:t>
      </w:r>
    </w:p>
    <w:p>
      <w:pPr>
        <w:pStyle w:val="ListParagraph"/>
        <w:numPr>
          <w:ilvl w:val="0"/>
          <w:numId w:val="2"/>
        </w:numPr>
        <w:spacing w:after="70" w:line="276"/>
      </w:pPr>
      <w:r>
        <w:rPr>
          <w:rFonts w:ascii="Arial" w:cs="Arial" w:eastAsia="Arial" w:hAnsi="Arial"/>
          <w:sz w:val="22"/>
          <w:szCs w:val="22"/>
        </w:rPr>
        <w:t xml:space="preserve">As staff mark each step, the change is written to the shared PostgreSQL database. Supabase Realtime (WebSocket publish/subscribe on PostgreSQL logical replication) pushes the update to the farmer’s device with no polling. If the farmer is offline, the update is delivered the moment connectivity returns.</w:t>
      </w:r>
    </w:p>
    <w:p>
      <w:pPr>
        <w:pStyle w:val="ListParagraph"/>
        <w:numPr>
          <w:ilvl w:val="0"/>
          <w:numId w:val="2"/>
        </w:numPr>
        <w:spacing w:after="70" w:line="276"/>
      </w:pPr>
      <w:r>
        <w:rPr>
          <w:rFonts w:ascii="Arial" w:cs="Arial" w:eastAsia="Arial" w:hAnsi="Arial"/>
          <w:sz w:val="22"/>
          <w:szCs w:val="22"/>
        </w:rPr>
        <w:t xml:space="preserve">Admin dashboard shows live queue lengths, average processing time per step, and predicted overload so managers can open extra counters or divert farmers.</w:t>
      </w:r>
    </w:p>
    <w:p>
      <w:pPr>
        <w:spacing w:after="100" w:line="276"/>
        <w:jc w:val="both"/>
      </w:pPr>
      <w:r>
        <w:rPr>
          <w:rFonts w:ascii="Arial" w:cs="Arial" w:eastAsia="Arial" w:hAnsi="Arial"/>
          <w:b/>
          <w:bCs/>
          <w:sz w:val="22"/>
          <w:szCs w:val="22"/>
        </w:rPr>
        <w:t xml:space="preserve">Technology stack:</w:t>
      </w:r>
    </w:p>
    <w:p>
      <w:pPr>
        <w:pStyle w:val="ListParagraph"/>
        <w:numPr>
          <w:ilvl w:val="0"/>
          <w:numId w:val="2"/>
        </w:numPr>
        <w:spacing w:after="70" w:line="276"/>
      </w:pPr>
      <w:r>
        <w:rPr>
          <w:rFonts w:ascii="Arial" w:cs="Arial" w:eastAsia="Arial" w:hAnsi="Arial"/>
          <w:sz w:val="22"/>
          <w:szCs w:val="22"/>
        </w:rPr>
        <w:t xml:space="preserve">Frontend: Next.js 14 (App Router) Progressive Web App — installable, offline-capable.</w:t>
      </w:r>
    </w:p>
    <w:p>
      <w:pPr>
        <w:pStyle w:val="ListParagraph"/>
        <w:numPr>
          <w:ilvl w:val="0"/>
          <w:numId w:val="2"/>
        </w:numPr>
        <w:spacing w:after="70" w:line="276"/>
      </w:pPr>
      <w:r>
        <w:rPr>
          <w:rFonts w:ascii="Arial" w:cs="Arial" w:eastAsia="Arial" w:hAnsi="Arial"/>
          <w:sz w:val="22"/>
          <w:szCs w:val="22"/>
        </w:rPr>
        <w:t xml:space="preserve">Database &amp; Auth: Supabase Postgres + Supabase Auth (JWT) + Row-Level Security so a farmer can only read their own bookings and logs.</w:t>
      </w:r>
    </w:p>
    <w:p>
      <w:pPr>
        <w:pStyle w:val="ListParagraph"/>
        <w:numPr>
          <w:ilvl w:val="0"/>
          <w:numId w:val="2"/>
        </w:numPr>
        <w:spacing w:after="70" w:line="276"/>
      </w:pPr>
      <w:r>
        <w:rPr>
          <w:rFonts w:ascii="Arial" w:cs="Arial" w:eastAsia="Arial" w:hAnsi="Arial"/>
          <w:sz w:val="22"/>
          <w:szCs w:val="22"/>
        </w:rPr>
        <w:t xml:space="preserve">Realtime: Supabase Realtime (WebSocket, zero polling).</w:t>
      </w:r>
    </w:p>
    <w:p>
      <w:pPr>
        <w:pStyle w:val="ListParagraph"/>
        <w:numPr>
          <w:ilvl w:val="0"/>
          <w:numId w:val="2"/>
        </w:numPr>
        <w:spacing w:after="70" w:line="276"/>
      </w:pPr>
      <w:r>
        <w:rPr>
          <w:rFonts w:ascii="Arial" w:cs="Arial" w:eastAsia="Arial" w:hAnsi="Arial"/>
          <w:sz w:val="22"/>
          <w:szCs w:val="22"/>
        </w:rPr>
        <w:t xml:space="preserve">Offline: Service Worker + IndexedDB for token persistence; background sync for staff actions when signal returns.</w:t>
      </w:r>
    </w:p>
    <w:p>
      <w:pPr>
        <w:pStyle w:val="ListParagraph"/>
        <w:numPr>
          <w:ilvl w:val="0"/>
          <w:numId w:val="2"/>
        </w:numPr>
        <w:spacing w:after="70" w:line="276"/>
      </w:pPr>
      <w:r>
        <w:rPr>
          <w:rFonts w:ascii="Arial" w:cs="Arial" w:eastAsia="Arial" w:hAnsi="Arial"/>
          <w:sz w:val="22"/>
          <w:szCs w:val="22"/>
        </w:rPr>
        <w:t xml:space="preserve">Security: HMAC-signed QR payloads, single-use + time-boxed tokens, role-based access (farmer / gate staff / grader / admin).</w:t>
      </w:r>
    </w:p>
    <w:p>
      <w:pPr>
        <w:pStyle w:val="ListParagraph"/>
        <w:numPr>
          <w:ilvl w:val="0"/>
          <w:numId w:val="2"/>
        </w:numPr>
        <w:spacing w:after="70" w:line="276"/>
      </w:pPr>
      <w:r>
        <w:rPr>
          <w:rFonts w:ascii="Arial" w:cs="Arial" w:eastAsia="Arial" w:hAnsi="Arial"/>
          <w:sz w:val="22"/>
          <w:szCs w:val="22"/>
        </w:rPr>
        <w:t xml:space="preserve">Core schema: profiles, centres, slots, bookings, procurement_logs, capacity_snapshots.</w:t>
      </w:r>
    </w:p>
    <w:p>
      <w:pPr>
        <w:spacing w:after="120" w:line="276"/>
        <w:jc w:val="both"/>
      </w:pPr>
      <w:r>
        <w:rPr>
          <w:rFonts w:ascii="Arial" w:cs="Arial" w:eastAsia="Arial" w:hAnsi="Arial"/>
          <w:sz w:val="22"/>
          <w:szCs w:val="22"/>
        </w:rPr>
        <w:t xml:space="preserve">This directly fixes the three problems from Section 2: no more showing up blind, no more standing around not knowing what is happening, and less time with grain sitting out in the open — which means less rain damage and fewer quality deductions.</w:t>
      </w:r>
    </w:p>
    <w:p>
      <w:pPr>
        <w:pStyle w:val="Heading1"/>
        <w:spacing w:after="160" w:before="320"/>
      </w:pPr>
      <w:r>
        <w:rPr>
          <w:rFonts w:ascii="Arial" w:cs="Arial" w:eastAsia="Arial" w:hAnsi="Arial"/>
          <w:b/>
          <w:bCs/>
          <w:color w:val="1F4E79"/>
          <w:sz w:val="28"/>
          <w:szCs w:val="28"/>
        </w:rPr>
        <w:t xml:space="preserve">5. What Makes Us Different</w:t>
      </w:r>
    </w:p>
    <w:p>
      <w:pPr>
        <w:spacing w:after="120" w:line="276"/>
        <w:jc w:val="both"/>
      </w:pPr>
      <w:r>
        <w:rPr>
          <w:rFonts w:ascii="Arial" w:cs="Arial" w:eastAsia="Arial" w:hAnsi="Arial"/>
          <w:sz w:val="22"/>
          <w:szCs w:val="22"/>
        </w:rPr>
        <w:t xml:space="preserve">Government portals like e-Kharid, Anaaj Kharid and e-Uparjan already handle registration and (in the best cases) payment reasonably well, so we are not trying to redo that layer. What none of them do is the combination that farmers actually need once they leave home:</w:t>
      </w:r>
    </w:p>
    <w:p>
      <w:pPr>
        <w:pStyle w:val="ListParagraph"/>
        <w:numPr>
          <w:ilvl w:val="0"/>
          <w:numId w:val="2"/>
        </w:numPr>
        <w:spacing w:after="70" w:line="276"/>
      </w:pPr>
      <w:r>
        <w:rPr>
          <w:rFonts w:ascii="Arial" w:cs="Arial" w:eastAsia="Arial" w:hAnsi="Arial"/>
          <w:sz w:val="22"/>
          <w:szCs w:val="22"/>
        </w:rPr>
        <w:t xml:space="preserve">A live, personal, step-by-step status feed after physical arrival (Booked → Arrived → Weighed → Graded → Paid) — not just a static gate-pass or SMS date.</w:t>
      </w:r>
    </w:p>
    <w:p>
      <w:pPr>
        <w:pStyle w:val="ListParagraph"/>
        <w:numPr>
          <w:ilvl w:val="0"/>
          <w:numId w:val="2"/>
        </w:numPr>
        <w:spacing w:after="70" w:line="276"/>
      </w:pPr>
      <w:r>
        <w:rPr>
          <w:rFonts w:ascii="Arial" w:cs="Arial" w:eastAsia="Arial" w:hAnsi="Arial"/>
          <w:sz w:val="22"/>
          <w:szCs w:val="22"/>
        </w:rPr>
        <w:t xml:space="preserve">A token that is guaranteed to work at the gate even when the mandi has zero mobile data (offline-first QR + numeric code cached on-device at booking time).</w:t>
      </w:r>
    </w:p>
    <w:p>
      <w:pPr>
        <w:pStyle w:val="ListParagraph"/>
        <w:numPr>
          <w:ilvl w:val="0"/>
          <w:numId w:val="2"/>
        </w:numPr>
        <w:spacing w:after="70" w:line="276"/>
      </w:pPr>
      <w:r>
        <w:rPr>
          <w:rFonts w:ascii="Arial" w:cs="Arial" w:eastAsia="Arial" w:hAnsi="Arial"/>
          <w:sz w:val="22"/>
          <w:szCs w:val="22"/>
        </w:rPr>
        <w:t xml:space="preserve">Capacity-aware hourly slots that surface remaining throughput instead of pure date assignment, so farmers are not all told to come on the same morning.</w:t>
      </w:r>
    </w:p>
    <w:p>
      <w:pPr>
        <w:pStyle w:val="ListParagraph"/>
        <w:numPr>
          <w:ilvl w:val="0"/>
          <w:numId w:val="2"/>
        </w:numPr>
        <w:spacing w:after="70" w:line="276"/>
      </w:pPr>
      <w:r>
        <w:rPr>
          <w:rFonts w:ascii="Arial" w:cs="Arial" w:eastAsia="Arial" w:hAnsi="Arial"/>
          <w:sz w:val="22"/>
          <w:szCs w:val="22"/>
        </w:rPr>
        <w:t xml:space="preserve">Database-level single-use + time-box protection so a screenshot of a QR cannot be reused and a double-scan cannot silently inflate numbers.</w:t>
      </w:r>
    </w:p>
    <w:p>
      <w:pPr>
        <w:pStyle w:val="ListParagraph"/>
        <w:numPr>
          <w:ilvl w:val="0"/>
          <w:numId w:val="2"/>
        </w:numPr>
        <w:spacing w:after="70" w:line="276"/>
      </w:pPr>
      <w:r>
        <w:rPr>
          <w:rFonts w:ascii="Arial" w:cs="Arial" w:eastAsia="Arial" w:hAnsi="Arial"/>
          <w:sz w:val="22"/>
          <w:szCs w:val="22"/>
        </w:rPr>
        <w:t xml:space="preserve">Explicit multi-channel design for low digital literacy: icon-first UI, English + Hindi + Kannada, SMS alerts, and a 6-digit code that needs no camera.</w:t>
      </w:r>
    </w:p>
    <w:p>
      <w:pPr>
        <w:spacing w:after="120" w:line="276"/>
        <w:jc w:val="both"/>
      </w:pPr>
      <w:r>
        <w:rPr>
          <w:rFonts w:ascii="Arial" w:cs="Arial" w:eastAsia="Arial" w:hAnsi="Arial"/>
          <w:sz w:val="22"/>
          <w:szCs w:val="22"/>
        </w:rPr>
        <w:t xml:space="preserve">That combination — live post-arrival status + true offline token + capacity-aware booking + spoof resistance + low-literacy fallbacks — is the sharp differentiation against every existing government portal we studied.</w:t>
      </w:r>
    </w:p>
    <w:p>
      <w:pPr>
        <w:pStyle w:val="Heading1"/>
        <w:spacing w:after="160" w:before="320"/>
      </w:pPr>
      <w:r>
        <w:rPr>
          <w:rFonts w:ascii="Arial" w:cs="Arial" w:eastAsia="Arial" w:hAnsi="Arial"/>
          <w:b/>
          <w:bCs/>
          <w:color w:val="1F4E79"/>
          <w:sz w:val="28"/>
          <w:szCs w:val="28"/>
        </w:rPr>
        <w:t xml:space="preserve">6. Will It Actually Work?</w:t>
      </w:r>
    </w:p>
    <w:p>
      <w:pPr>
        <w:spacing w:after="80"/>
      </w:pPr>
      <w:r>
        <w:rPr>
          <w:rFonts w:ascii="Arial" w:cs="Arial" w:eastAsia="Arial" w:hAnsi="Arial"/>
          <w:i/>
          <w:iCs/>
          <w:color w:val="555555"/>
          <w:sz w:val="20"/>
          <w:szCs w:val="20"/>
        </w:rPr>
        <w:t xml:space="preserve">What could go wrong, and how would you handle it? Roughly, what would it cost or take to build and roll this out?</w:t>
      </w:r>
    </w:p>
    <w:p>
      <w:pPr>
        <w:spacing w:after="120" w:line="276"/>
        <w:jc w:val="both"/>
      </w:pPr>
      <w:r>
        <w:rPr>
          <w:rFonts w:ascii="Arial" w:cs="Arial" w:eastAsia="Arial" w:hAnsi="Arial"/>
          <w:sz w:val="22"/>
          <w:szCs w:val="22"/>
        </w:rPr>
        <w:t xml:space="preserve">We have stress-tested the design against the questions a national jury is most likely to ask. Here are the biggest risks and exactly how KisanQueue handles each one:</w:t>
      </w:r>
    </w:p>
    <w:p>
      <w:pPr>
        <w:pStyle w:val="ListParagraph"/>
        <w:numPr>
          <w:ilvl w:val="0"/>
          <w:numId w:val="2"/>
        </w:numPr>
        <w:spacing w:after="70" w:line="276"/>
      </w:pPr>
      <w:r>
        <w:rPr>
          <w:rFonts w:ascii="Arial" w:cs="Arial" w:eastAsia="Arial" w:hAnsi="Arial"/>
          <w:sz w:val="22"/>
          <w:szCs w:val="22"/>
        </w:rPr>
        <w:t xml:space="preserve">Poor or no internet at rural mandis — the farmer’s token and QR are cached on-device the moment a slot is booked, so check-in still works at zero connectivity. Staff check-in actions queue locally on the dashboard and sync to Supabase the moment signal returns. Realtime channel reconnects automatically.</w:t>
      </w:r>
    </w:p>
    <w:p>
      <w:pPr>
        <w:pStyle w:val="ListParagraph"/>
        <w:numPr>
          <w:ilvl w:val="0"/>
          <w:numId w:val="2"/>
        </w:numPr>
        <w:spacing w:after="70" w:line="276"/>
      </w:pPr>
      <w:r>
        <w:rPr>
          <w:rFonts w:ascii="Arial" w:cs="Arial" w:eastAsia="Arial" w:hAnsi="Arial"/>
          <w:sz w:val="22"/>
          <w:szCs w:val="22"/>
        </w:rPr>
        <w:t xml:space="preserve">QR scanner or handheld device failure at the counter — every token also carries a 6-digit numeric code staff can key in by hand, so a broken camera or scanner never blocks a farmer from being checked in.</w:t>
      </w:r>
    </w:p>
    <w:p>
      <w:pPr>
        <w:pStyle w:val="ListParagraph"/>
        <w:numPr>
          <w:ilvl w:val="0"/>
          <w:numId w:val="2"/>
        </w:numPr>
        <w:spacing w:after="70" w:line="276"/>
      </w:pPr>
      <w:r>
        <w:rPr>
          <w:rFonts w:ascii="Arial" w:cs="Arial" w:eastAsia="Arial" w:hAnsi="Arial"/>
          <w:sz w:val="22"/>
          <w:szCs w:val="22"/>
        </w:rPr>
        <w:t xml:space="preserve">False positives from duplicate or spoofed QR scans (screenshot reuse, same farmer scanned twice) — each token is single-use and time-boxed to its slot window at the database level. A repeat scan is rejected and flagged as a duplicate entry to staff instead of silently double-counting the farmer. QR payload is HMAC-signed.</w:t>
      </w:r>
    </w:p>
    <w:p>
      <w:pPr>
        <w:pStyle w:val="ListParagraph"/>
        <w:numPr>
          <w:ilvl w:val="0"/>
          <w:numId w:val="2"/>
        </w:numPr>
        <w:spacing w:after="70" w:line="276"/>
      </w:pPr>
      <w:r>
        <w:rPr>
          <w:rFonts w:ascii="Arial" w:cs="Arial" w:eastAsia="Arial" w:hAnsi="Arial"/>
          <w:sz w:val="22"/>
          <w:szCs w:val="22"/>
        </w:rPr>
        <w:t xml:space="preserve">Low smartphone adoption and staff resistance to a new system — we back the app with simple SMS-style alerts and a multilingual, icon-based interface (English, Hindi, Kannada) for farmers without smartphones. Mandi-staff side is reduced to large one-tap buttons that need almost no training. First two weeks of any pilot include on-site helpers.</w:t>
      </w:r>
    </w:p>
    <w:p>
      <w:pPr>
        <w:pStyle w:val="ListParagraph"/>
        <w:numPr>
          <w:ilvl w:val="0"/>
          <w:numId w:val="2"/>
        </w:numPr>
        <w:spacing w:after="70" w:line="276"/>
      </w:pPr>
      <w:r>
        <w:rPr>
          <w:rFonts w:ascii="Arial" w:cs="Arial" w:eastAsia="Arial" w:hAnsi="Arial"/>
          <w:sz w:val="22"/>
          <w:szCs w:val="22"/>
        </w:rPr>
        <w:t xml:space="preserve">Integration friction with existing state portals — KisanQueue is deliberately designed as a complementary scheduling + live-status layer that can later accept registration IDs from e-Kharid / Anaaj Kharid rather than replace them.</w:t>
      </w:r>
    </w:p>
    <w:p>
      <w:pPr>
        <w:spacing w:after="120" w:line="276"/>
        <w:jc w:val="both"/>
      </w:pPr>
      <w:r>
        <w:rPr>
          <w:rFonts w:ascii="Arial" w:cs="Arial" w:eastAsia="Arial" w:hAnsi="Arial"/>
          <w:sz w:val="22"/>
          <w:szCs w:val="22"/>
        </w:rPr>
        <w:t xml:space="preserve">In terms of cost, we use free-tier tools (Supabase free tier, Vercel hobby) so there is no licensing cost to build or run a pilot. The real investment is development time: roughly 4–6 weeks of focused work by the six-member team to reach a pilot-ready version, then a short measured pilot at 2–3 mandis before any state-wide discussion.</w:t>
      </w:r>
    </w:p>
    <w:p>
      <w:pPr>
        <w:pStyle w:val="Heading1"/>
        <w:spacing w:after="160" w:before="320"/>
      </w:pPr>
      <w:r>
        <w:rPr>
          <w:rFonts w:ascii="Arial" w:cs="Arial" w:eastAsia="Arial" w:hAnsi="Arial"/>
          <w:b/>
          <w:bCs/>
          <w:color w:val="1F4E79"/>
          <w:sz w:val="28"/>
          <w:szCs w:val="28"/>
        </w:rPr>
        <w:t xml:space="preserve">7. Impact</w:t>
      </w:r>
    </w:p>
    <w:p>
      <w:pPr>
        <w:spacing w:after="120" w:line="276"/>
        <w:jc w:val="both"/>
      </w:pPr>
      <w:r>
        <w:rPr>
          <w:rFonts w:ascii="Arial" w:cs="Arial" w:eastAsia="Arial" w:hAnsi="Arial"/>
          <w:sz w:val="22"/>
          <w:szCs w:val="22"/>
        </w:rPr>
        <w:t xml:space="preserve">The direct beneficiaries are farmers selling wheat or paddy at MSP mandis — lakhs of them every harvest season. To put the scale in context:</w:t>
      </w:r>
    </w:p>
    <w:p>
      <w:pPr>
        <w:pStyle w:val="ListParagraph"/>
        <w:numPr>
          <w:ilvl w:val="0"/>
          <w:numId w:val="2"/>
        </w:numPr>
        <w:spacing w:after="70" w:line="276"/>
      </w:pPr>
      <w:r>
        <w:rPr>
          <w:rFonts w:ascii="Arial" w:cs="Arial" w:eastAsia="Arial" w:hAnsi="Arial"/>
          <w:sz w:val="22"/>
          <w:szCs w:val="22"/>
        </w:rPr>
        <w:t xml:space="preserve">Wheat RMS 2024-25: 22.31 lakh farmers benefitted, MSP outflow ₹59,715 crore, 262+ LMT procured.</w:t>
      </w:r>
    </w:p>
    <w:p>
      <w:pPr>
        <w:pStyle w:val="ListParagraph"/>
        <w:numPr>
          <w:ilvl w:val="0"/>
          <w:numId w:val="2"/>
        </w:numPr>
        <w:spacing w:after="70" w:line="276"/>
      </w:pPr>
      <w:r>
        <w:rPr>
          <w:rFonts w:ascii="Arial" w:cs="Arial" w:eastAsia="Arial" w:hAnsi="Arial"/>
          <w:sz w:val="22"/>
          <w:szCs w:val="22"/>
        </w:rPr>
        <w:t xml:space="preserve">Paddy KMS 2023-24: ~98 lakh farmers, 728.42 LMT paddy (≈489 LMT rice), MSP outflow approximately ₹1.60 lakh crore.</w:t>
      </w:r>
    </w:p>
    <w:p>
      <w:pPr>
        <w:pStyle w:val="ListParagraph"/>
        <w:numPr>
          <w:ilvl w:val="0"/>
          <w:numId w:val="2"/>
        </w:numPr>
        <w:spacing w:after="70" w:line="276"/>
      </w:pPr>
      <w:r>
        <w:rPr>
          <w:rFonts w:ascii="Arial" w:cs="Arial" w:eastAsia="Arial" w:hAnsi="Arial"/>
          <w:sz w:val="22"/>
          <w:szCs w:val="22"/>
        </w:rPr>
        <w:t xml:space="preserve">National MSP procurement 2024-25 reached a record ~₹3.47 lakh crore across crops, with roughly 19.6 million farming households receiving MSP benefits.</w:t>
      </w:r>
    </w:p>
    <w:p>
      <w:pPr>
        <w:spacing w:after="120" w:line="276"/>
        <w:jc w:val="both"/>
      </w:pPr>
      <w:r>
        <w:rPr>
          <w:rFonts w:ascii="Arial" w:cs="Arial" w:eastAsia="Arial" w:hAnsi="Arial"/>
          <w:sz w:val="22"/>
          <w:szCs w:val="22"/>
        </w:rPr>
        <w:t xml:space="preserve">All of this volume is currently processed through the same first-come-first-served, paper-heavy queue that KisanQueue is built to fix. Instead of waiting 48 to 72 hours, farmers get a scheduled slot. Less time exposed on the road means less of the commonly cited 10 to 15 percent crop value lost to rain and moisture damage at MSP centres. Faster, clearer status tracking also means farmers are not left guessing about payment, which currently takes 7 to 14 days after sale due to manual paperwork in many centres.</w:t>
      </w:r>
    </w:p>
    <w:p>
      <w:pPr>
        <w:spacing w:after="120" w:line="276"/>
        <w:jc w:val="both"/>
      </w:pPr>
      <w:r>
        <w:rPr>
          <w:rFonts w:ascii="Arial" w:cs="Arial" w:eastAsia="Arial" w:hAnsi="Arial"/>
          <w:sz w:val="22"/>
          <w:szCs w:val="22"/>
        </w:rPr>
        <w:t xml:space="preserve">Even a modest, single-district pilot covering a handful of mandis and a few thousand registered farmers would be enough to measure average wait-time reduction, offline check-in success rate, and rain-damage incidents against this baseline before a state-wide rollout. Because the stack runs on free-tier tools and the design is complementary to existing registration systems, the marginal cost of geographic expansion remains low.</w:t>
      </w:r>
    </w:p>
    <w:p>
      <w:pPr>
        <w:pStyle w:val="Heading1"/>
        <w:spacing w:after="160" w:before="320"/>
      </w:pPr>
      <w:r>
        <w:rPr>
          <w:rFonts w:ascii="Arial" w:cs="Arial" w:eastAsia="Arial" w:hAnsi="Arial"/>
          <w:b/>
          <w:bCs/>
          <w:color w:val="1F4E79"/>
          <w:sz w:val="28"/>
          <w:szCs w:val="28"/>
        </w:rPr>
        <w:t xml:space="preserve">8. 6 Key Evaluation Rubrics</w:t>
      </w:r>
    </w:p>
    <w:p>
      <w:pPr>
        <w:spacing w:after="120" w:line="276"/>
        <w:jc w:val="both"/>
      </w:pPr>
      <w:r>
        <w:rPr>
          <w:rFonts w:ascii="Arial" w:cs="Arial" w:eastAsia="Arial" w:hAnsi="Arial"/>
          <w:sz w:val="22"/>
          <w:szCs w:val="22"/>
        </w:rPr>
        <w:t xml:space="preserve">The national competition evaluates every submission against the six parameters below. For each parameter we state the official expectation and then explain, in concrete terms, how KisanQueue meets or exceeds it.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640"/>
      </w:tblGrid>
      <w:tr>
        <w:tc>
          <w:tcPr>
            <w:tcW w:type="dxa" w:w="2200"/>
            <w:tcBorders>
              <w:top w:val="single" w:color="1F4E79" w:sz="1"/>
              <w:left w:val="single" w:color="1F4E79" w:sz="1"/>
              <w:bottom w:val="single" w:color="1F4E79" w:sz="1"/>
              <w:right w:val="single" w:color="1F4E79" w:sz="1"/>
            </w:tcBorders>
            <w:shd w:fill="1F4E79" w:val="clear"/>
            <w:tcMar>
              <w:top w:type="dxa" w:w="70"/>
              <w:left w:type="dxa" w:w="90"/>
              <w:bottom w:type="dxa" w:w="70"/>
              <w:right w:type="dxa" w:w="90"/>
            </w:tcMar>
            <w:vAlign w:val="center"/>
          </w:tcPr>
          <w:p>
            <w:r>
              <w:rPr>
                <w:rFonts w:ascii="Arial" w:cs="Arial" w:eastAsia="Arial" w:hAnsi="Arial"/>
                <w:b/>
                <w:bCs/>
                <w:color w:val="FFFFFF"/>
                <w:sz w:val="16"/>
                <w:szCs w:val="16"/>
              </w:rPr>
              <w:t xml:space="preserve">Evaluation Parameter</w:t>
            </w:r>
          </w:p>
        </w:tc>
        <w:tc>
          <w:tcPr>
            <w:tcW w:type="dxa" w:w="3600"/>
            <w:tcBorders>
              <w:top w:val="single" w:color="1F4E79" w:sz="1"/>
              <w:left w:val="single" w:color="1F4E79" w:sz="1"/>
              <w:bottom w:val="single" w:color="1F4E79" w:sz="1"/>
              <w:right w:val="single" w:color="1F4E79" w:sz="1"/>
            </w:tcBorders>
            <w:shd w:fill="1F4E79" w:val="clear"/>
            <w:tcMar>
              <w:top w:type="dxa" w:w="70"/>
              <w:left w:type="dxa" w:w="90"/>
              <w:bottom w:type="dxa" w:w="70"/>
              <w:right w:type="dxa" w:w="90"/>
            </w:tcMar>
            <w:vAlign w:val="center"/>
          </w:tcPr>
          <w:p>
            <w:r>
              <w:rPr>
                <w:rFonts w:ascii="Arial" w:cs="Arial" w:eastAsia="Arial" w:hAnsi="Arial"/>
                <w:b/>
                <w:bCs/>
                <w:color w:val="FFFFFF"/>
                <w:sz w:val="16"/>
                <w:szCs w:val="16"/>
              </w:rPr>
              <w:t xml:space="preserve">Description / Expectations</w:t>
            </w:r>
          </w:p>
        </w:tc>
        <w:tc>
          <w:tcPr>
            <w:tcW w:type="dxa" w:w="4640"/>
            <w:tcBorders>
              <w:top w:val="single" w:color="1F4E79" w:sz="1"/>
              <w:left w:val="single" w:color="1F4E79" w:sz="1"/>
              <w:bottom w:val="single" w:color="1F4E79" w:sz="1"/>
              <w:right w:val="single" w:color="1F4E79" w:sz="1"/>
            </w:tcBorders>
            <w:shd w:fill="1F4E79" w:val="clear"/>
            <w:tcMar>
              <w:top w:type="dxa" w:w="70"/>
              <w:left w:type="dxa" w:w="90"/>
              <w:bottom w:type="dxa" w:w="70"/>
              <w:right w:type="dxa" w:w="90"/>
            </w:tcMar>
            <w:vAlign w:val="center"/>
          </w:tcPr>
          <w:p>
            <w:r>
              <w:rPr>
                <w:rFonts w:ascii="Arial" w:cs="Arial" w:eastAsia="Arial" w:hAnsi="Arial"/>
                <w:b/>
                <w:bCs/>
                <w:color w:val="FFFFFF"/>
                <w:sz w:val="16"/>
                <w:szCs w:val="16"/>
              </w:rPr>
              <w:t xml:space="preserve">How Our Solution Meets This</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tcPr>
          <w:p>
            <w:r>
              <w:rPr>
                <w:rFonts w:ascii="Arial" w:cs="Arial" w:eastAsia="Arial" w:hAnsi="Arial"/>
                <w:b/>
                <w:bCs/>
                <w:sz w:val="16"/>
                <w:szCs w:val="16"/>
              </w:rPr>
              <w:t xml:space="preserve">1. Concept &amp; Innovation</w:t>
            </w:r>
          </w:p>
        </w:tc>
        <w:tc>
          <w:tcPr>
            <w:tcW w:type="dxa" w:w="360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tcPr>
          <w:p>
            <w:r>
              <w:rPr>
                <w:rFonts w:ascii="Arial" w:cs="Arial" w:eastAsia="Arial" w:hAnsi="Arial"/>
                <w:sz w:val="15"/>
                <w:szCs w:val="15"/>
              </w:rPr>
              <w:t xml:space="preserve">How unique and creative is your proposed solution? Does it introduce a novel approach to the problem?</w:t>
            </w:r>
          </w:p>
        </w:tc>
        <w:tc>
          <w:tcPr>
            <w:tcW w:type="dxa" w:w="464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tcPr>
          <w:p>
            <w:r>
              <w:rPr>
                <w:rFonts w:ascii="Arial" w:cs="Arial" w:eastAsia="Arial" w:hAnsi="Arial"/>
                <w:sz w:val="15"/>
                <w:szCs w:val="15"/>
              </w:rPr>
              <w:t xml:space="preserve">We are not just another booking app. The novel combination is a live farmer-facing status pipeline (Booked → Arrived → Weighed → Graded → Paid) plus an offline-ready single-use QR + numeric token plus capacity-aware hourly slots. None of the existing government portals (e-Kharid, Anaaj Kharid, e-Uparjan, Meri Fasal Mera Byora, Kapas Kisaan) offer this three-part combination. That is the precise residual gap we close.</w:t>
            </w:r>
          </w:p>
        </w:tc>
      </w:tr>
      <w:tr>
        <w:tc>
          <w:tcPr>
            <w:tcW w:type="dxa" w:w="2200"/>
            <w:tcBorders>
              <w:top w:val="single" w:color="AAAAAA" w:sz="1"/>
              <w:left w:val="single" w:color="AAAAAA" w:sz="1"/>
              <w:bottom w:val="single" w:color="AAAAAA" w:sz="1"/>
              <w:right w:val="single" w:color="AAAAAA" w:sz="1"/>
            </w:tcBorders>
            <w:shd w:fill="F4F6F7" w:val="clear"/>
            <w:tcMar>
              <w:top w:type="dxa" w:w="70"/>
              <w:left w:type="dxa" w:w="90"/>
              <w:bottom w:type="dxa" w:w="70"/>
              <w:right w:type="dxa" w:w="90"/>
            </w:tcMar>
          </w:tcPr>
          <w:p>
            <w:r>
              <w:rPr>
                <w:rFonts w:ascii="Arial" w:cs="Arial" w:eastAsia="Arial" w:hAnsi="Arial"/>
                <w:b/>
                <w:bCs/>
                <w:sz w:val="16"/>
                <w:szCs w:val="16"/>
              </w:rPr>
              <w:t xml:space="preserve">2. Technical Complexity &amp; Feasibility</w:t>
            </w:r>
          </w:p>
        </w:tc>
        <w:tc>
          <w:tcPr>
            <w:tcW w:type="dxa" w:w="3600"/>
            <w:tcBorders>
              <w:top w:val="single" w:color="AAAAAA" w:sz="1"/>
              <w:left w:val="single" w:color="AAAAAA" w:sz="1"/>
              <w:bottom w:val="single" w:color="AAAAAA" w:sz="1"/>
              <w:right w:val="single" w:color="AAAAAA" w:sz="1"/>
            </w:tcBorders>
            <w:shd w:fill="F4F6F7" w:val="clear"/>
            <w:tcMar>
              <w:top w:type="dxa" w:w="70"/>
              <w:left w:type="dxa" w:w="90"/>
              <w:bottom w:type="dxa" w:w="70"/>
              <w:right w:type="dxa" w:w="90"/>
            </w:tcMar>
          </w:tcPr>
          <w:p>
            <w:r>
              <w:rPr>
                <w:rFonts w:ascii="Arial" w:cs="Arial" w:eastAsia="Arial" w:hAnsi="Arial"/>
                <w:sz w:val="15"/>
                <w:szCs w:val="15"/>
              </w:rPr>
              <w:t xml:space="preserve">Can this be built practically? Does it use the right technology stack, and is it technically sound?</w:t>
            </w:r>
          </w:p>
        </w:tc>
        <w:tc>
          <w:tcPr>
            <w:tcW w:type="dxa" w:w="4640"/>
            <w:tcBorders>
              <w:top w:val="single" w:color="AAAAAA" w:sz="1"/>
              <w:left w:val="single" w:color="AAAAAA" w:sz="1"/>
              <w:bottom w:val="single" w:color="AAAAAA" w:sz="1"/>
              <w:right w:val="single" w:color="AAAAAA" w:sz="1"/>
            </w:tcBorders>
            <w:shd w:fill="F4F6F7" w:val="clear"/>
            <w:tcMar>
              <w:top w:type="dxa" w:w="70"/>
              <w:left w:type="dxa" w:w="90"/>
              <w:bottom w:type="dxa" w:w="70"/>
              <w:right w:type="dxa" w:w="90"/>
            </w:tcMar>
          </w:tcPr>
          <w:p>
            <w:r>
              <w:rPr>
                <w:rFonts w:ascii="Arial" w:cs="Arial" w:eastAsia="Arial" w:hAnsi="Arial"/>
                <w:sz w:val="15"/>
                <w:szCs w:val="15"/>
              </w:rPr>
              <w:t xml:space="preserve">Built on Next.js 14 PWA and Supabase (Postgres + Auth + Realtime + Row-Level Security) — mature, well-documented, free-tier technologies. Realtime sync uses PostgreSQL logical replication over WebSocket (zero polling). Offline strategy uses Service Worker + IndexedDB. Security uses JWT + RLS + HMAC-signed single-use tokens. Clear five-table schema and role model. Feasible for a six-member student team in 4–6 weeks.</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tcPr>
          <w:p>
            <w:r>
              <w:rPr>
                <w:rFonts w:ascii="Arial" w:cs="Arial" w:eastAsia="Arial" w:hAnsi="Arial"/>
                <w:b/>
                <w:bCs/>
                <w:sz w:val="16"/>
                <w:szCs w:val="16"/>
              </w:rPr>
              <w:t xml:space="preserve">3. Viability, Sustainability &amp; Impact</w:t>
            </w:r>
          </w:p>
        </w:tc>
        <w:tc>
          <w:tcPr>
            <w:tcW w:type="dxa" w:w="360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tcPr>
          <w:p>
            <w:r>
              <w:rPr>
                <w:rFonts w:ascii="Arial" w:cs="Arial" w:eastAsia="Arial" w:hAnsi="Arial"/>
                <w:sz w:val="15"/>
                <w:szCs w:val="15"/>
              </w:rPr>
              <w:t xml:space="preserve">Is this a long-term sustainable solution? What is the real-world scale and impact on the target audience?</w:t>
            </w:r>
          </w:p>
        </w:tc>
        <w:tc>
          <w:tcPr>
            <w:tcW w:type="dxa" w:w="464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tcPr>
          <w:p>
            <w:r>
              <w:rPr>
                <w:rFonts w:ascii="Arial" w:cs="Arial" w:eastAsia="Arial" w:hAnsi="Arial"/>
                <w:sz w:val="15"/>
                <w:szCs w:val="15"/>
              </w:rPr>
              <w:t xml:space="preserve">Runs entirely on free-tier tools for pilot scale, so there is no licensing cost to expand to more mandis. Directly reduces farmer wait time (48–72 h → scheduled window), crop damage (commonly cited 10–15 % value loss), and payment uncertainty. Addresses a recurring problem for 22+ lakh wheat farmers and ~1 crore paddy farmers every season. Pilot metrics (wait-time reduction, offline success rate, rain-damage delta) are defined before any state-wide claim.</w:t>
            </w:r>
          </w:p>
        </w:tc>
      </w:tr>
      <w:tr>
        <w:tc>
          <w:tcPr>
            <w:tcW w:type="dxa" w:w="2200"/>
            <w:tcBorders>
              <w:top w:val="single" w:color="AAAAAA" w:sz="1"/>
              <w:left w:val="single" w:color="AAAAAA" w:sz="1"/>
              <w:bottom w:val="single" w:color="AAAAAA" w:sz="1"/>
              <w:right w:val="single" w:color="AAAAAA" w:sz="1"/>
            </w:tcBorders>
            <w:shd w:fill="F4F6F7" w:val="clear"/>
            <w:tcMar>
              <w:top w:type="dxa" w:w="70"/>
              <w:left w:type="dxa" w:w="90"/>
              <w:bottom w:type="dxa" w:w="70"/>
              <w:right w:type="dxa" w:w="90"/>
            </w:tcMar>
          </w:tcPr>
          <w:p>
            <w:r>
              <w:rPr>
                <w:rFonts w:ascii="Arial" w:cs="Arial" w:eastAsia="Arial" w:hAnsi="Arial"/>
                <w:b/>
                <w:bCs/>
                <w:sz w:val="16"/>
                <w:szCs w:val="16"/>
              </w:rPr>
              <w:t xml:space="preserve">4. Approach &amp; Methodology</w:t>
            </w:r>
          </w:p>
        </w:tc>
        <w:tc>
          <w:tcPr>
            <w:tcW w:type="dxa" w:w="3600"/>
            <w:tcBorders>
              <w:top w:val="single" w:color="AAAAAA" w:sz="1"/>
              <w:left w:val="single" w:color="AAAAAA" w:sz="1"/>
              <w:bottom w:val="single" w:color="AAAAAA" w:sz="1"/>
              <w:right w:val="single" w:color="AAAAAA" w:sz="1"/>
            </w:tcBorders>
            <w:shd w:fill="F4F6F7" w:val="clear"/>
            <w:tcMar>
              <w:top w:type="dxa" w:w="70"/>
              <w:left w:type="dxa" w:w="90"/>
              <w:bottom w:type="dxa" w:w="70"/>
              <w:right w:type="dxa" w:w="90"/>
            </w:tcMar>
          </w:tcPr>
          <w:p>
            <w:r>
              <w:rPr>
                <w:rFonts w:ascii="Arial" w:cs="Arial" w:eastAsia="Arial" w:hAnsi="Arial"/>
                <w:sz w:val="15"/>
                <w:szCs w:val="15"/>
              </w:rPr>
              <w:t xml:space="preserve">How clear and structured is your plan to build the product? Do you have a solid architectural approach?</w:t>
            </w:r>
          </w:p>
        </w:tc>
        <w:tc>
          <w:tcPr>
            <w:tcW w:type="dxa" w:w="4640"/>
            <w:tcBorders>
              <w:top w:val="single" w:color="AAAAAA" w:sz="1"/>
              <w:left w:val="single" w:color="AAAAAA" w:sz="1"/>
              <w:bottom w:val="single" w:color="AAAAAA" w:sz="1"/>
              <w:right w:val="single" w:color="AAAAAA" w:sz="1"/>
            </w:tcBorders>
            <w:shd w:fill="F4F6F7" w:val="clear"/>
            <w:tcMar>
              <w:top w:type="dxa" w:w="70"/>
              <w:left w:type="dxa" w:w="90"/>
              <w:bottom w:type="dxa" w:w="70"/>
              <w:right w:type="dxa" w:w="90"/>
            </w:tcMar>
          </w:tcPr>
          <w:p>
            <w:r>
              <w:rPr>
                <w:rFonts w:ascii="Arial" w:cs="Arial" w:eastAsia="Arial" w:hAnsi="Arial"/>
                <w:sz w:val="15"/>
                <w:szCs w:val="15"/>
              </w:rPr>
              <w:t xml:space="preserve">Prior-art research covered five major platforms with documented failure modes (Sirsa freezes, Telangana digital-literacy stalls, lack of live status). Architecture: two connected interfaces (farmer PWA + staff dashboard) sharing one real-time database, five-table schema, RLS-first security. Development follows one-week Agile sprints (Auth → Booking/Token → Staff offline → Realtime status → Analytics → Pilot hardening). Success metrics for pilot are pre-defined.</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tcPr>
          <w:p>
            <w:r>
              <w:rPr>
                <w:rFonts w:ascii="Arial" w:cs="Arial" w:eastAsia="Arial" w:hAnsi="Arial"/>
                <w:b/>
                <w:bCs/>
                <w:sz w:val="16"/>
                <w:szCs w:val="16"/>
              </w:rPr>
              <w:t xml:space="preserve">5. User Experience &amp; Design</w:t>
            </w:r>
          </w:p>
        </w:tc>
        <w:tc>
          <w:tcPr>
            <w:tcW w:type="dxa" w:w="360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tcPr>
          <w:p>
            <w:r>
              <w:rPr>
                <w:rFonts w:ascii="Arial" w:cs="Arial" w:eastAsia="Arial" w:hAnsi="Arial"/>
                <w:sz w:val="15"/>
                <w:szCs w:val="15"/>
              </w:rPr>
              <w:t xml:space="preserve">Is the solution intuitive and accessible? Have you considered the end-user’s interaction and ease of use?</w:t>
            </w:r>
          </w:p>
        </w:tc>
        <w:tc>
          <w:tcPr>
            <w:tcW w:type="dxa" w:w="464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tcPr>
          <w:p>
            <w:r>
              <w:rPr>
                <w:rFonts w:ascii="Arial" w:cs="Arial" w:eastAsia="Arial" w:hAnsi="Arial"/>
                <w:sz w:val="15"/>
                <w:szCs w:val="15"/>
              </w:rPr>
              <w:t xml:space="preserve">Icon-led interface with full English, Hindi and Kannada support. Offline-first token cached at booking so check-in never depends on signal at the gate. SMS alerts + 6-digit numeric code for farmers without smartphones or with broken cameras. Staff side deliberately reduced to large one-tap buttons requiring almost no training. Accessibility and low-literacy constraints were design inputs from the start, not afterthoughts.</w:t>
            </w:r>
          </w:p>
        </w:tc>
      </w:tr>
      <w:tr>
        <w:tc>
          <w:tcPr>
            <w:tcW w:type="dxa" w:w="2200"/>
            <w:tcBorders>
              <w:top w:val="single" w:color="AAAAAA" w:sz="1"/>
              <w:left w:val="single" w:color="AAAAAA" w:sz="1"/>
              <w:bottom w:val="single" w:color="AAAAAA" w:sz="1"/>
              <w:right w:val="single" w:color="AAAAAA" w:sz="1"/>
            </w:tcBorders>
            <w:shd w:fill="F4F6F7" w:val="clear"/>
            <w:tcMar>
              <w:top w:type="dxa" w:w="70"/>
              <w:left w:type="dxa" w:w="90"/>
              <w:bottom w:type="dxa" w:w="70"/>
              <w:right w:type="dxa" w:w="90"/>
            </w:tcMar>
          </w:tcPr>
          <w:p>
            <w:r>
              <w:rPr>
                <w:rFonts w:ascii="Arial" w:cs="Arial" w:eastAsia="Arial" w:hAnsi="Arial"/>
                <w:b/>
                <w:bCs/>
                <w:sz w:val="16"/>
                <w:szCs w:val="16"/>
              </w:rPr>
              <w:t xml:space="preserve">6. Presentation &amp; Communication</w:t>
            </w:r>
          </w:p>
        </w:tc>
        <w:tc>
          <w:tcPr>
            <w:tcW w:type="dxa" w:w="3600"/>
            <w:tcBorders>
              <w:top w:val="single" w:color="AAAAAA" w:sz="1"/>
              <w:left w:val="single" w:color="AAAAAA" w:sz="1"/>
              <w:bottom w:val="single" w:color="AAAAAA" w:sz="1"/>
              <w:right w:val="single" w:color="AAAAAA" w:sz="1"/>
            </w:tcBorders>
            <w:shd w:fill="F4F6F7" w:val="clear"/>
            <w:tcMar>
              <w:top w:type="dxa" w:w="70"/>
              <w:left w:type="dxa" w:w="90"/>
              <w:bottom w:type="dxa" w:w="70"/>
              <w:right w:type="dxa" w:w="90"/>
            </w:tcMar>
          </w:tcPr>
          <w:p>
            <w:r>
              <w:rPr>
                <w:rFonts w:ascii="Arial" w:cs="Arial" w:eastAsia="Arial" w:hAnsi="Arial"/>
                <w:sz w:val="15"/>
                <w:szCs w:val="15"/>
              </w:rPr>
              <w:t xml:space="preserve">How well do you convey your ideas? Is the research report and pitch clearly articulated?</w:t>
            </w:r>
          </w:p>
        </w:tc>
        <w:tc>
          <w:tcPr>
            <w:tcW w:type="dxa" w:w="4640"/>
            <w:tcBorders>
              <w:top w:val="single" w:color="AAAAAA" w:sz="1"/>
              <w:left w:val="single" w:color="AAAAAA" w:sz="1"/>
              <w:bottom w:val="single" w:color="AAAAAA" w:sz="1"/>
              <w:right w:val="single" w:color="AAAAAA" w:sz="1"/>
            </w:tcBorders>
            <w:shd w:fill="F4F6F7" w:val="clear"/>
            <w:tcMar>
              <w:top w:type="dxa" w:w="70"/>
              <w:left w:type="dxa" w:w="90"/>
              <w:bottom w:type="dxa" w:w="70"/>
              <w:right w:type="dxa" w:w="90"/>
            </w:tcMar>
          </w:tcPr>
          <w:p>
            <w:r>
              <w:rPr>
                <w:rFonts w:ascii="Arial" w:cs="Arial" w:eastAsia="Arial" w:hAnsi="Arial"/>
                <w:sz w:val="15"/>
                <w:szCs w:val="15"/>
              </w:rPr>
              <w:t xml:space="preserve">This research report, our pitch deck, and a working demo covering booking, live status updates, offline token check-in, and the admin dashboard together explain the idea clearly from problem → prior art gap → solution → risk mitigation → measurable impact, with citations to official sources and documented portal failures.</w:t>
            </w:r>
          </w:p>
        </w:tc>
      </w:tr>
    </w:tbl>
    <w:p>
      <w:pPr>
        <w:pStyle w:val="Heading1"/>
        <w:spacing w:after="160" w:before="320"/>
      </w:pPr>
      <w:r>
        <w:rPr>
          <w:rFonts w:ascii="Arial" w:cs="Arial" w:eastAsia="Arial" w:hAnsi="Arial"/>
          <w:b/>
          <w:bCs/>
          <w:color w:val="1F4E79"/>
          <w:sz w:val="28"/>
          <w:szCs w:val="28"/>
        </w:rPr>
        <w:t xml:space="preserve">9. References</w:t>
      </w:r>
    </w:p>
    <w:p>
      <w:pPr>
        <w:spacing w:after="60"/>
      </w:pPr>
      <w:r>
        <w:rPr>
          <w:rFonts w:ascii="Arial" w:cs="Arial" w:eastAsia="Arial" w:hAnsi="Arial"/>
          <w:sz w:val="20"/>
          <w:szCs w:val="20"/>
        </w:rPr>
        <w:t xml:space="preserve">[1] e-Kharid Portal (Haryana Government) — https://ekharid.haryana.gov.in</w:t>
      </w:r>
    </w:p>
    <w:p>
      <w:pPr>
        <w:spacing w:after="60"/>
      </w:pPr>
      <w:r>
        <w:rPr>
          <w:rFonts w:ascii="Arial" w:cs="Arial" w:eastAsia="Arial" w:hAnsi="Arial"/>
          <w:sz w:val="20"/>
          <w:szCs w:val="20"/>
        </w:rPr>
        <w:t xml:space="preserve">[2] Anaaj Kharid Portal (Punjab Government) — https://anaajkharid.in</w:t>
      </w:r>
    </w:p>
    <w:p>
      <w:pPr>
        <w:spacing w:after="60"/>
      </w:pPr>
      <w:r>
        <w:rPr>
          <w:rFonts w:ascii="Arial" w:cs="Arial" w:eastAsia="Arial" w:hAnsi="Arial"/>
          <w:sz w:val="20"/>
          <w:szCs w:val="20"/>
        </w:rPr>
        <w:t xml:space="preserve">[3] e-Uparjan Portal (Madhya Pradesh Government) — http://mpeuparjan.nic.in</w:t>
      </w:r>
    </w:p>
    <w:p>
      <w:pPr>
        <w:spacing w:after="60"/>
      </w:pPr>
      <w:r>
        <w:rPr>
          <w:rFonts w:ascii="Arial" w:cs="Arial" w:eastAsia="Arial" w:hAnsi="Arial"/>
          <w:sz w:val="20"/>
          <w:szCs w:val="20"/>
        </w:rPr>
        <w:t xml:space="preserve">[4] Meri Fasal Mera Byora Portal (Haryana Government) — https://fasal.haryana.gov.in</w:t>
      </w:r>
    </w:p>
    <w:p>
      <w:pPr>
        <w:spacing w:after="60"/>
      </w:pPr>
      <w:r>
        <w:rPr>
          <w:rFonts w:ascii="Arial" w:cs="Arial" w:eastAsia="Arial" w:hAnsi="Arial"/>
          <w:sz w:val="20"/>
          <w:szCs w:val="20"/>
        </w:rPr>
        <w:t xml:space="preserve">[5] Ministry of Consumer Affairs, Food &amp; Public Distribution — wheat MSP procurement update, 22.31 lakh farmers benefitted, ₹59,715 crore MSP outflow, RMS 2024-25 (Business Today / official release, May 2024).</w:t>
      </w:r>
    </w:p>
    <w:p>
      <w:pPr>
        <w:spacing w:after="60"/>
      </w:pPr>
      <w:r>
        <w:rPr>
          <w:rFonts w:ascii="Arial" w:cs="Arial" w:eastAsia="Arial" w:hAnsi="Arial"/>
          <w:sz w:val="20"/>
          <w:szCs w:val="20"/>
        </w:rPr>
        <w:t xml:space="preserve">[6] Paddy procurement KMS 2023-24: 728.42 LMT from ~98 lakh farmers, MSP outflow ~₹1.60 lakh crore (Ministry update).</w:t>
      </w:r>
    </w:p>
    <w:p>
      <w:pPr>
        <w:spacing w:after="60"/>
      </w:pPr>
      <w:r>
        <w:rPr>
          <w:rFonts w:ascii="Arial" w:cs="Arial" w:eastAsia="Arial" w:hAnsi="Arial"/>
          <w:sz w:val="20"/>
          <w:szCs w:val="20"/>
        </w:rPr>
        <w:t xml:space="preserve">[7] “New digital system delays paddy purchase in Sirsa” — documented Meri Fasal Mera Byora token-system failures, The Tribune, October 2025 — https://www.tribuneindia.com</w:t>
      </w:r>
    </w:p>
    <w:p>
      <w:pPr>
        <w:spacing w:after="60"/>
      </w:pPr>
      <w:r>
        <w:rPr>
          <w:rFonts w:ascii="Arial" w:cs="Arial" w:eastAsia="Arial" w:hAnsi="Arial"/>
          <w:sz w:val="20"/>
          <w:szCs w:val="20"/>
        </w:rPr>
        <w:t xml:space="preserve">[8] Supabase Documentation — https://supabase.com/docs (Realtime, Auth, Row-Level Security).</w:t>
      </w:r>
    </w:p>
    <w:p>
      <w:pPr>
        <w:spacing w:after="60"/>
      </w:pPr>
      <w:r>
        <w:rPr>
          <w:rFonts w:ascii="Arial" w:cs="Arial" w:eastAsia="Arial" w:hAnsi="Arial"/>
          <w:sz w:val="20"/>
          <w:szCs w:val="20"/>
        </w:rPr>
        <w:t xml:space="preserve">[9] Next.js Documentation — https://nextjs.org/docs (App Router, Progressive Web App patterns).</w:t>
      </w:r>
    </w:p>
    <w:p>
      <w:pPr>
        <w:spacing w:after="60"/>
      </w:pPr>
      <w:r>
        <w:rPr>
          <w:rFonts w:ascii="Arial" w:cs="Arial" w:eastAsia="Arial" w:hAnsi="Arial"/>
          <w:sz w:val="20"/>
          <w:szCs w:val="20"/>
        </w:rPr>
        <w:t xml:space="preserve">[10] Record MSP procurement statistics 2024-25 — ~₹3.47 lakh crore national outflow, ~19.6 million farming households (India Today / official data).</w:t>
      </w:r>
    </w:p>
    <w:p>
      <w:pPr>
        <w:spacing w:after="60"/>
      </w:pPr>
      <w:r>
        <w:rPr>
          <w:rFonts w:ascii="Arial" w:cs="Arial" w:eastAsia="Arial" w:hAnsi="Arial"/>
          <w:sz w:val="20"/>
          <w:szCs w:val="20"/>
        </w:rPr>
        <w:t xml:space="preserve">[11] Field reports of multi-day queues, open-air grain damage and distress sales below MSP — Hindustan Times, The Hindu, India Today, The Tribune (2024–2026 seasons).</w:t>
      </w:r>
    </w:p>
    <w:p>
      <w:pPr>
        <w:spacing w:after="60"/>
      </w:pPr>
      <w:r>
        <w:rPr>
          <w:rFonts w:ascii="Arial" w:cs="Arial" w:eastAsia="Arial" w:hAnsi="Arial"/>
          <w:sz w:val="20"/>
          <w:szCs w:val="20"/>
        </w:rPr>
        <w:t xml:space="preserve">[12] Kapas Kisaan (Cotton Corporation of India) — documented digital-literacy and assistance gaps for flood-hit Telangana farmers, November 2025.</w:t>
      </w:r>
    </w:p>
    <w:p>
      <w:pPr>
        <w:spacing w:before="360"/>
        <w:jc w:val="center"/>
      </w:pPr>
      <w:r>
        <w:rPr>
          <w:rFonts w:ascii="Arial" w:cs="Arial" w:eastAsia="Arial" w:hAnsi="Arial"/>
          <w:i/>
          <w:iCs/>
          <w:color w:val="888888"/>
          <w:sz w:val="18"/>
          <w:szCs w:val="18"/>
        </w:rPr>
        <w:t xml:space="preserve">— End of Research Report —</w:t>
      </w:r>
    </w:p>
    <w:p>
      <w:pPr>
        <w:spacing w:before="60"/>
        <w:jc w:val="center"/>
      </w:pPr>
      <w:r>
        <w:rPr>
          <w:rFonts w:ascii="Arial" w:cs="Arial" w:eastAsia="Arial" w:hAnsi="Arial"/>
          <w:b/>
          <w:bCs/>
          <w:color w:val="1F4E79"/>
          <w:sz w:val="18"/>
          <w:szCs w:val="18"/>
        </w:rPr>
        <w:t xml:space="preserve">Team Learn-0-thon  |  SIH26-26032  |  KisanQueue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4"/>
      </w:pBdr>
      <w:jc w:val="center"/>
    </w:pPr>
    <w:r>
      <w:rPr>
        <w:rFonts w:ascii="Arial" w:cs="Arial" w:eastAsia="Arial" w:hAnsi="Arial"/>
        <w:color w:val="666666"/>
        <w:sz w:val="15"/>
        <w:szCs w:val="15"/>
      </w:rPr>
      <w:t xml:space="preserve">KisanQueue — Smart Mandi Procurement Scheduling &amp; Tracking  |  Page </w:t>
    </w:r>
    <w:r>
      <w:rPr>
        <w:rFonts w:ascii="Arial" w:cs="Arial" w:eastAsia="Arial" w:hAnsi="Arial"/>
        <w:color w:val="666666"/>
        <w:sz w:val="15"/>
        <w:szCs w:val="15"/>
      </w:rPr>
      <w:fldChar w:fldCharType="begin"/>
      <w:instrText xml:space="preserve">PAGE</w:instrText>
      <w:fldChar w:fldCharType="separate"/>
      <w:fldChar w:fldCharType="end"/>
    </w:r>
    <w:r>
      <w:rPr>
        <w:rFonts w:ascii="Arial" w:cs="Arial" w:eastAsia="Arial" w:hAnsi="Arial"/>
        <w:color w:val="666666"/>
        <w:sz w:val="15"/>
        <w:szCs w:val="15"/>
      </w:rPr>
      <w:t xml:space="preserve"> of </w:t>
    </w:r>
    <w:r>
      <w:rPr>
        <w:rFonts w:ascii="Arial" w:cs="Arial" w:eastAsia="Arial" w:hAnsi="Arial"/>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12" w:space="4"/>
      </w:pBdr>
      <w:spacing w:after="80"/>
    </w:pPr>
    <w:r>
      <w:rPr>
        <w:rFonts w:ascii="Arial" w:cs="Arial" w:eastAsia="Arial" w:hAnsi="Arial"/>
        <w:b/>
        <w:bCs/>
        <w:color w:val="1F4E79"/>
        <w:sz w:val="16"/>
        <w:szCs w:val="16"/>
      </w:rPr>
      <w:t xml:space="preserve">SMART INDIA HACKATHON 2026  |  College Round — Research Report</w:t>
    </w:r>
    <w:r>
      <w:rPr>
        <w:rFonts w:ascii="Arial" w:cs="Arial" w:eastAsia="Arial" w:hAnsi="Arial"/>
        <w:color w:val="555555"/>
        <w:sz w:val="16"/>
        <w:szCs w:val="16"/>
      </w:rPr>
      <w:t xml:space="preserve">          Team: Learn-0-thon  |  SIH26-26032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2026-09-10T13:33:03.789Z</dcterms:created>
  <dcterms:modified xsi:type="dcterms:W3CDTF">2026-09-10T13:33:03.789Z</dcterms:modified>
</cp:coreProperties>
</file>

<file path=docProps/custom.xml><?xml version="1.0" encoding="utf-8"?>
<Properties xmlns="http://schemas.openxmlformats.org/officeDocument/2006/custom-properties" xmlns:vt="http://schemas.openxmlformats.org/officeDocument/2006/docPropsVTypes"/>
</file>