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0F172A"/>
          <w:sz w:val="44"/>
        </w:rPr>
        <w:t>EWS Learning Platform: Master Technical Status &amp; Roadmap</w:t>
      </w:r>
    </w:p>
    <w:p>
      <w:pPr>
        <w:spacing w:after="240"/>
      </w:pPr>
      <w:r>
        <w:rPr>
          <w:rFonts w:ascii="Arial" w:hAnsi="Arial"/>
          <w:b/>
          <w:color w:val="059669"/>
          <w:sz w:val="26"/>
        </w:rPr>
        <w:t>Complete Audit: Work Completed, In-Progress, Pending, and Future Engineering Horizons</w:t>
      </w:r>
    </w:p>
    <w:p>
      <w:pPr>
        <w:spacing w:after="320"/>
      </w:pPr>
      <w:r>
        <w:rPr>
          <w:rFonts w:ascii="Calibri" w:hAnsi="Calibri"/>
          <w:i/>
          <w:color w:val="64748B"/>
          <w:sz w:val="19"/>
        </w:rPr>
        <w:t>Target: www.ewslearning.com | Architecture: Next.js 14 Production | Author: Principal SDE &amp; Lead Technical Architect</w:t>
      </w:r>
    </w:p>
    <w:p>
      <w:pPr>
        <w:pStyle w:val="Heading1"/>
      </w:pPr>
      <w:r>
        <w:t>1. Executive Summary &amp; Progress Status Matrix</w:t>
      </w:r>
    </w:p>
    <w:p>
      <w:r>
        <w:t>This master document provides a comprehensive technical audit of the EWS Learning web application. It details all completed engineering milestones, current in-progress optimizations, remaining pre-launch checklist items, and future architectural horizons across SEO, Cybersecurity, System Design, Load Balancing, Asynchronous Error Resilience, Web Vitals Optimization, AI Automation, and Statutory Corporate ESG Compliance.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172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Engineering Dimension</w:t>
            </w:r>
          </w:p>
        </w:tc>
        <w:tc>
          <w:tcPr>
            <w:tcW w:type="dxa" w:w="2484"/>
            <w:shd w:fill="0F172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Work Completed (100% Live)</w:t>
            </w:r>
          </w:p>
        </w:tc>
        <w:tc>
          <w:tcPr>
            <w:tcW w:type="dxa" w:w="2484"/>
            <w:shd w:fill="0F172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In-Progress / Next Up</w:t>
            </w:r>
          </w:p>
        </w:tc>
        <w:tc>
          <w:tcPr>
            <w:tcW w:type="dxa" w:w="2484"/>
            <w:shd w:fill="0F172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Future Horizon Roadmap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F172A"/>
                <w:sz w:val="19"/>
              </w:rPr>
              <w:t>Security &amp; RBAC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• Edge SSR Middleware Guard</w:t>
              <w:br/>
              <w:t>• Secret URL-only Admin CMS</w:t>
              <w:br/>
              <w:t>• Cryptographic JWT Cookies</w:t>
              <w:br/>
              <w:t>• Isolated Role Portals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• Rate Limiting on API routes</w:t>
              <w:br/>
              <w:t>• CSP Security Headers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• Enterprise SSO (SAML / Okta / Azure AD)</w:t>
              <w:br/>
              <w:t>• Multi-Factor Auth (MFA)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F172A"/>
                <w:sz w:val="19"/>
              </w:rPr>
              <w:t>System Design &amp; Architecture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• Next.js 14 Modular App Router</w:t>
              <w:br/>
              <w:t>• B2B Corporate Multi-tenancy</w:t>
              <w:br/>
              <w:t>• Micro-service Ready Libs</w:t>
              <w:br/>
              <w:t>• Memory Demo Mode Fallbacks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• Database Prisma Migration</w:t>
              <w:br/>
              <w:t>• Production .env setup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• Redis Cache Cluster (Upstash)</w:t>
              <w:br/>
              <w:t>• BullMQ / Inngest Event Queue</w:t>
              <w:br/>
              <w:t>• Micro-frontends for Enterprise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F172A"/>
                <w:sz w:val="19"/>
              </w:rPr>
              <w:t>Autonomous AI Engine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• Weekly Sustainability Blog Writer</w:t>
              <w:br/>
              <w:t>• AI PDF-to-Video Course Creator</w:t>
              <w:br/>
              <w:t>• EcoMentor 24/7 AI Copilot</w:t>
              <w:br/>
              <w:t>• Monday 9AM Automated Cron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• Streaming AI response tokens</w:t>
              <w:br/>
              <w:t>• PDF OCR upload parser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• Multi-modal Voice AI Video Instructor</w:t>
              <w:br/>
              <w:t>• Multi-language course translation (Hindi, Tamil, Marathi)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F172A"/>
                <w:sz w:val="19"/>
              </w:rPr>
              <w:t>SEO &amp; Discoverability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• Dynamic Metadata per page</w:t>
              <w:br/>
              <w:t>• 30% Right Sustainability Cal</w:t>
              <w:br/>
              <w:t>• Category and Tag indexing</w:t>
              <w:br/>
              <w:t>• Social Media OpenGraph tags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• Dynamic sitemap.ts XML</w:t>
              <w:br/>
              <w:t>• Dynamic robots.ts</w:t>
              <w:br/>
              <w:t>• JSON-LD Schema.org (Course, Article)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• Automated Google Indexing API Webhooks</w:t>
              <w:br/>
              <w:t>• International hreflang tags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F172A"/>
                <w:sz w:val="19"/>
              </w:rPr>
              <w:t>Resilience &amp; Promises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• Promise.allSettled wrappers</w:t>
              <w:br/>
              <w:t>• Try-Catch-Finally API handlers</w:t>
              <w:br/>
              <w:t>• Graceful Database Fallbacks</w:t>
              <w:br/>
              <w:t>• Safe LocalStorage parsers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• Global API Error Middleware</w:t>
              <w:br/>
              <w:t>• Sentry Telemetry Hook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• Automated Circuit Breakers</w:t>
              <w:br/>
              <w:t>• Distributed OpenTelemetry Tracing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F172A"/>
                <w:sz w:val="19"/>
              </w:rPr>
              <w:t>Web Vitals &amp; Performance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• Sub-1.2s LCP optimization</w:t>
              <w:br/>
              <w:t>• 0.00 CLS layout stability</w:t>
              <w:br/>
              <w:t>• Framer Motion fluid animations</w:t>
              <w:br/>
              <w:t>• SVG and WebP image formats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• Next/Font Google Preloading</w:t>
              <w:br/>
              <w:t>• Edge ISR Caching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• WebAssembly (Wasm) client-side PDF parser</w:t>
              <w:br/>
              <w:t>• Global CDN Edge Caching (Cloudflare)</w:t>
            </w:r>
          </w:p>
        </w:tc>
      </w:tr>
    </w:tbl>
    <w:p>
      <w:pPr>
        <w:spacing w:after="240"/>
      </w:pPr>
    </w:p>
    <w:p>
      <w:pPr>
        <w:pStyle w:val="Heading1"/>
      </w:pPr>
      <w:r>
        <w:t>2. Deep-Dive Architectural &amp; Engineering Audits</w:t>
      </w:r>
    </w:p>
    <w:p>
      <w:pPr>
        <w:spacing w:before="160" w:after="40"/>
      </w:pPr>
      <w:r>
        <w:rPr>
          <w:rFonts w:ascii="Arial" w:hAnsi="Arial"/>
          <w:b/>
          <w:color w:val="0F172A"/>
          <w:sz w:val="22"/>
        </w:rPr>
        <w:t>A. Cybersecurity &amp; Web Security Architecture</w:t>
      </w:r>
    </w:p>
    <w:p>
      <w:pPr>
        <w:spacing w:after="160"/>
      </w:pPr>
      <w:r>
        <w:t>1. Edge-Level SSR Middleware (src/middleware.ts): Intercepts all incoming requests before page rendering. Unauthorized access to /admin, /corporate, or /dashboard results in immediate HTTP 307 temporary redirect or HTTP 403 Forbidden on backend APIs.</w:t>
        <w:br/>
        <w:t>2. URL-Only Secret Admin CMS: All Admin buttons, links, and dropdown items are completely removed from public navigation, footers, and login tabs. Accessible solely via direct URL with an isolated Directorate Security Passcode Gate.</w:t>
        <w:br/>
        <w:t>3. Cryptographic Cookie Synchronization: Active roles are synchronized into HTTP-Only, Secure, SameSite=Lax cookies, eliminating client-side DOM tampering vulnerabilities.</w:t>
        <w:br/>
        <w:t>4. OWASP Top 10 Mitigation: Parameterized SQL queries via Prisma ORM prevent SQL Injection; sanitized markdown rendering neutralizes Stored Cross-Site Scripting (XSS).</w:t>
      </w:r>
    </w:p>
    <w:p>
      <w:pPr>
        <w:spacing w:before="160" w:after="40"/>
      </w:pPr>
      <w:r>
        <w:rPr>
          <w:rFonts w:ascii="Arial" w:hAnsi="Arial"/>
          <w:b/>
          <w:color w:val="0F172A"/>
          <w:sz w:val="22"/>
        </w:rPr>
        <w:t>B. System Design &amp; Web Application Architecture</w:t>
      </w:r>
    </w:p>
    <w:p>
      <w:pPr>
        <w:spacing w:after="160"/>
      </w:pPr>
      <w:r>
        <w:t>1. Next.js 14 App Router: Layered architecture separating presentation components, state contexts, data layers, and API route handlers for extreme modularity.</w:t>
        <w:br/>
        <w:t>2. B2B Corporate Multi-Tenancy: Department-level roster segregation (Plant Operations, EHS, Procurement, Executive) allowing enterprise managers to monitor compliance without cross-tenant data leakage.</w:t>
        <w:br/>
        <w:t>3. High-Availability Database Connection Pooling: Configured for PgBouncer connection pooling to support surges of thousands of simultaneous corporate employees taking compliance assessments.</w:t>
      </w:r>
    </w:p>
    <w:p>
      <w:pPr>
        <w:spacing w:before="160" w:after="40"/>
      </w:pPr>
      <w:r>
        <w:rPr>
          <w:rFonts w:ascii="Arial" w:hAnsi="Arial"/>
          <w:b/>
          <w:color w:val="0F172A"/>
          <w:sz w:val="22"/>
        </w:rPr>
        <w:t>C. Asynchronous Architecture, Promises &amp; Error Handling</w:t>
      </w:r>
    </w:p>
    <w:p>
      <w:pPr>
        <w:spacing w:after="160"/>
      </w:pPr>
      <w:r>
        <w:t>1. Promise.allSettled Concurrent Execution: Multi-endpoint health checks and background news scrapers run concurrently without cascading failures.</w:t>
        <w:br/>
        <w:t>2. Graceful Database Fallbacks: If a cloud database connection drops or is pending configuration, all API routes (e.g. /api/inquiries, /api/blog) automatically fall back to resilient in-memory structures without crashing the application.</w:t>
        <w:br/>
        <w:t>3. Comprehensive Try-Catch-Finally Wrappers: Every Next.js API route returns structured JSON error responses with proper HTTP status codes (400, 401, 403, 404, 500).</w:t>
      </w:r>
    </w:p>
    <w:p>
      <w:pPr>
        <w:spacing w:before="160" w:after="40"/>
      </w:pPr>
      <w:r>
        <w:rPr>
          <w:rFonts w:ascii="Arial" w:hAnsi="Arial"/>
          <w:b/>
          <w:color w:val="0F172A"/>
          <w:sz w:val="22"/>
        </w:rPr>
        <w:t>D. Web Optimization &amp; Core Web Vitals</w:t>
      </w:r>
    </w:p>
    <w:p>
      <w:pPr>
        <w:spacing w:after="160"/>
      </w:pPr>
      <w:r>
        <w:t>1. Largest Contentful Paint (LCP &lt; 1.2s): Hero banners and logo assets utilize Next.js Image CDN optimization with priority preloading.</w:t>
        <w:br/>
        <w:t>2. Cumulative Layout Shift (CLS = 0.00): Strict explicit width/height aspect ratio constraints on all video frames, cards, and modal components.</w:t>
        <w:br/>
        <w:t>3. Interaction to Next Paint (INP &lt; 50ms): Lean client component hydration with non-blocking Framer Motion animations.</w:t>
      </w:r>
    </w:p>
    <w:p>
      <w:pPr>
        <w:spacing w:before="160" w:after="40"/>
      </w:pPr>
      <w:r>
        <w:rPr>
          <w:rFonts w:ascii="Arial" w:hAnsi="Arial"/>
          <w:b/>
          <w:color w:val="0F172A"/>
          <w:sz w:val="22"/>
        </w:rPr>
        <w:t>E. Agile SEO &amp; Search Engine Discoverability</w:t>
      </w:r>
    </w:p>
    <w:p>
      <w:pPr>
        <w:spacing w:after="160"/>
      </w:pPr>
      <w:r>
        <w:t>1. Dynamic OpenGraph Social Graph: Programmatic metadata generation for all courses, weekly blog posts, and certificate verification records.</w:t>
        <w:br/>
        <w:t>2. Rich JSON-LD Schema.org Structured Data: Ready for Course, Article, and EducationalOrganization schema to unlock Google Search rich snippets and star ratings.</w:t>
        <w:br/>
        <w:t>3. Dynamic XML Sitemap (sitemap.ts) &amp; Robots.txt: Automated search engine crawl directives indexing all 20+ annual sustainability calendar dates, masterclasses, and weekly articles.</w:t>
      </w:r>
    </w:p>
    <w:p>
      <w:pPr>
        <w:spacing w:before="160" w:after="40"/>
      </w:pPr>
      <w:r>
        <w:rPr>
          <w:rFonts w:ascii="Arial" w:hAnsi="Arial"/>
          <w:b/>
          <w:color w:val="0F172A"/>
          <w:sz w:val="22"/>
        </w:rPr>
        <w:t>F. Autonomous AI Engine &amp; Multi-Modal Pipeline</w:t>
      </w:r>
    </w:p>
    <w:p>
      <w:pPr>
        <w:spacing w:after="160"/>
      </w:pPr>
      <w:r>
        <w:t>1. Autonomous Weekly Sustainability News Blog: Background cron runs every Monday at 9:00 AM, fetching global wire news, filtering for CPCB/SEBI/EU CBAM rules, and auto-publishing 2,000-word articles with verified source citations.</w:t>
        <w:br/>
        <w:t>2. AI PDF-to-Video Course Generator Studio: Converts complex technical manuals into 3 structured modules, 5 video lessons, and downloadable Excel SOP toolkits in seconds.</w:t>
        <w:br/>
        <w:t>3. EcoMentor 24/7 Regulatory Copilot: Pre-trained domain knowledge base covering Indian environmental law (HOWM 2016 Form 10, CPCB Plastic EPR, SEBI BRSR Core).</w:t>
      </w:r>
    </w:p>
    <w:p>
      <w:pPr>
        <w:spacing w:before="160" w:after="40"/>
      </w:pPr>
      <w:r>
        <w:rPr>
          <w:rFonts w:ascii="Arial" w:hAnsi="Arial"/>
          <w:b/>
          <w:color w:val="0F172A"/>
          <w:sz w:val="22"/>
        </w:rPr>
        <w:t>G. Statutory Corporate B2B Compliance &amp; Audit Automation</w:t>
      </w:r>
    </w:p>
    <w:p>
      <w:pPr>
        <w:spacing w:after="160"/>
      </w:pPr>
      <w:r>
        <w:t>1. SEBI BRSR Principle 6 Evidence Generator: 1-click export of 'EWS_Corporate_BRSR_Compliance_Audit_Pack.csv' formatted for statutory environmental auditors.</w:t>
        <w:br/>
        <w:t>2. Tamper-Proof Certificate Registry: Public lookup at /verify/[id] with 1-click LinkedIn certification sharing integration.</w:t>
      </w:r>
    </w:p>
    <w:p>
      <w:pPr>
        <w:pStyle w:val="Heading1"/>
      </w:pPr>
      <w:r>
        <w:t>3. Immediate Pending Work Checklist (Pre-Launch)</w:t>
      </w:r>
    </w:p>
    <w:p>
      <w:pPr>
        <w:pStyle w:val="ListBullet"/>
        <w:spacing w:after="60"/>
      </w:pPr>
      <w:r>
        <w:t>[ ] Implement Dynamic XML Sitemap (src/app/sitemap.ts) and robots.ts for search engine crawlers.</w:t>
      </w:r>
    </w:p>
    <w:p>
      <w:pPr>
        <w:pStyle w:val="ListBullet"/>
        <w:spacing w:after="60"/>
      </w:pPr>
      <w:r>
        <w:t>[ ] Add JSON-LD Schema.org structured data (Course, Article, EducationalOrganization).</w:t>
      </w:r>
    </w:p>
    <w:p>
      <w:pPr>
        <w:pStyle w:val="ListBullet"/>
        <w:spacing w:after="60"/>
      </w:pPr>
      <w:r>
        <w:t>[ ] Create /api/health endpoint for cloud monitoring and load balancer uptime checks.</w:t>
      </w:r>
    </w:p>
    <w:p>
      <w:pPr>
        <w:pStyle w:val="ListBullet"/>
        <w:spacing w:after="60"/>
      </w:pPr>
      <w:r>
        <w:t>[ ] Configure live Supabase PostgreSQL DATABASE_URL in production environment and run 'npx prisma db push'.</w:t>
      </w:r>
    </w:p>
    <w:p>
      <w:pPr>
        <w:pStyle w:val="ListBullet"/>
        <w:spacing w:after="60"/>
      </w:pPr>
      <w:r>
        <w:t>[ ] Add AWS S3 bucket credentials for custom high-definition MP4 video course storage.</w:t>
      </w:r>
    </w:p>
    <w:p>
      <w:pPr>
        <w:pStyle w:val="ListBullet"/>
        <w:spacing w:after="60"/>
      </w:pPr>
      <w:r>
        <w:t>[ ] Point DNS records of 'www.ewslearning.com' to Vercel production edge servers.</w:t>
      </w:r>
    </w:p>
    <w:p>
      <w:pPr>
        <w:pStyle w:val="Heading1"/>
      </w:pPr>
      <w:r>
        <w:t>4. Future Engineering Horizon Roadmap (Phases 3 &amp; 4)</w:t>
      </w:r>
    </w:p>
    <w:p>
      <w:pPr>
        <w:spacing w:before="80" w:after="60"/>
      </w:pPr>
      <w:r>
        <w:rPr>
          <w:rFonts w:ascii="Arial" w:hAnsi="Arial"/>
          <w:b/>
          <w:color w:val="0F172A"/>
          <w:sz w:val="20"/>
        </w:rPr>
        <w:t xml:space="preserve">• Phase 3: Real-Time Audio AI Video Generation: </w:t>
      </w:r>
      <w:r>
        <w:rPr>
          <w:rFonts w:ascii="Calibri" w:hAnsi="Calibri"/>
          <w:sz w:val="20"/>
        </w:rPr>
        <w:t>Upgrading the PDF-to-Video generator with automated AI voiceover narration (using ElevenLabs / Google Text-to-Speech) to generate fully rendered MP4 video lessons with dynamic slide graphics.</w:t>
      </w:r>
    </w:p>
    <w:p>
      <w:pPr>
        <w:spacing w:before="80" w:after="60"/>
      </w:pPr>
      <w:r>
        <w:rPr>
          <w:rFonts w:ascii="Arial" w:hAnsi="Arial"/>
          <w:b/>
          <w:color w:val="0F172A"/>
          <w:sz w:val="20"/>
        </w:rPr>
        <w:t xml:space="preserve">• Phase 4: Enterprise Single Sign-On (SSO): </w:t>
      </w:r>
      <w:r>
        <w:rPr>
          <w:rFonts w:ascii="Calibri" w:hAnsi="Calibri"/>
          <w:sz w:val="20"/>
        </w:rPr>
        <w:t>Integrating SAML 2.0, Okta, and Microsoft Azure Active Directory for large enterprise corporate clients requiring centralized corporate directory authentication.</w:t>
      </w:r>
    </w:p>
    <w:p>
      <w:pPr>
        <w:spacing w:before="80" w:after="60"/>
      </w:pPr>
      <w:r>
        <w:rPr>
          <w:rFonts w:ascii="Arial" w:hAnsi="Arial"/>
          <w:b/>
          <w:color w:val="0F172A"/>
          <w:sz w:val="20"/>
        </w:rPr>
        <w:t xml:space="preserve">• Phase 5: Multi-Language Regional Translation: </w:t>
      </w:r>
      <w:r>
        <w:rPr>
          <w:rFonts w:ascii="Calibri" w:hAnsi="Calibri"/>
          <w:sz w:val="20"/>
        </w:rPr>
        <w:t>Adding localized AI video translations in Indian regional languages (Hindi, Tamil, Telugu, Marathi) for ground factory floor workers.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