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4"/>
        </w:rPr>
        <w:t>EWS Learning Platform: Product Requirement Document (PRD)</w:t>
      </w:r>
    </w:p>
    <w:p>
      <w:r>
        <w:rPr>
          <w:rFonts w:ascii="Arial" w:hAnsi="Arial"/>
          <w:b/>
          <w:color w:val="059669"/>
          <w:sz w:val="26"/>
        </w:rPr>
        <w:t>Version 2.4.0 (Production Master) | AI-Driven Environmental Education &amp; Corporate BRSR Portal</w:t>
      </w:r>
    </w:p>
    <w:p>
      <w:pPr>
        <w:pStyle w:val="Heading1"/>
      </w:pPr>
      <w:r>
        <w:t>1. Executive Summary &amp; Vision</w:t>
      </w:r>
    </w:p>
    <w:p>
      <w:r>
        <w:t>EWS Learning (ewslearning.com) is the leading academy for Waste Management, Corporate ESG, and Extended Producer Responsibility (EPR) training. It bridges corporate environmental policy with ground workforce capability through interactive video masterclasses, autonomous weekly news blogs, 24/7 AI regulatory copilots, and 1-click statutory SEBI BRSR evidence pack generation.</w:t>
      </w:r>
    </w:p>
    <w:p>
      <w:pPr>
        <w:pStyle w:val="Heading1"/>
      </w:pPr>
      <w:r>
        <w:t>2. User Personas &amp; Workflows</w:t>
      </w:r>
    </w:p>
    <w:p>
      <w:r>
        <w:t>• 1. Corporate Client (HR / EHS Director): Manages department cohorts (Plant Operations, EHS, Procurement, Executive), monitors completion rates, and exports SEBI BRSR Principle 6 audit manifests in 1-click.</w:t>
        <w:br/>
        <w:t>• 2. Student Learner / Plant Engineer: Streams interactive video modules, takes 5-question situational compliance exams (80%+ threshold), and claims verifiable digital credentials with LinkedIn integration.</w:t>
        <w:br/>
        <w:t>• 3. EWS Directorate &amp; Admin: Accesses secret URL-only Admin CMS (/admin) to manage corporate leads, generate video courses from technical PDFs, and publish automated weekly blogs.</w:t>
      </w:r>
    </w:p>
    <w:p>
      <w:pPr>
        <w:pStyle w:val="Heading1"/>
      </w:pPr>
      <w:r>
        <w:t>3. Statutory Regulatory Frameworks Supported</w:t>
      </w:r>
    </w:p>
    <w:p>
      <w:r>
        <w:t>• SEBI BRSR Core Principle 6: Employee training hours and Scope 1-3 audit records.</w:t>
        <w:br/>
        <w:t>• CPCB Plastic Waste Management Rules 2024: Extended Producer Responsibility (EPR) credit reconciliation.</w:t>
        <w:br/>
        <w:t>• HOWM Rules 2016: Hazardous waste segregation and Form 10 transport manifests.</w:t>
        <w:br/>
        <w:t>• Bureau of Energy Efficiency (BEE): Energy conservation audits and green building standards.</w:t>
        <w:br/>
        <w:t>• EU CBAM: Carbon border adjustment mechanism accounting for industrial exports.</w:t>
        <w:br/>
        <w:t>• UN SDGs: Direct mapping across Sustainable Development Goals 6, 7, 11, 12, 13, 14, 15.</w:t>
      </w:r>
    </w:p>
    <w:p>
      <w:pPr>
        <w:pStyle w:val="Heading1"/>
      </w:pPr>
      <w:r>
        <w:t>4. Core Functional Modules</w:t>
      </w:r>
    </w:p>
    <w:p>
      <w:r>
        <w:t>• FR-01: AI PDF-to-Video Course Generator Studio (Converts technical manuals into 3 modules, 5 video lessons, and quizzes).</w:t>
        <w:br/>
        <w:t>• FR-02: Autonomous Weekly Sustainability News &amp; Blog Synthesizer (Monday 9:00 AM auto-publishing cron).</w:t>
        <w:br/>
        <w:t>• FR-03: EcoMentor 24/7 AI Regulatory Copilot (Indian environmental law assistant).</w:t>
        <w:br/>
        <w:t>• FR-04: Tamper-Proof Certificate Registry &amp; 1-Click LinkedIn Credential Sync (/verify/[id]).</w:t>
        <w:br/>
        <w:t>• FR-05: Annual Sustainability Calendar &amp; 30% Right Glance Widget (.ICS &amp; Google Cal sync).</w:t>
        <w:br/>
        <w:t>• FR-06: B2B Corporate Hub &amp; BRSR Audit Evidence Pack Generator (CSV/PDF).</w:t>
      </w:r>
    </w:p>
    <w:p>
      <w:pPr>
        <w:pStyle w:val="Heading1"/>
      </w:pPr>
      <w:r>
        <w:t>5. Security &amp; Non-Functional Requirements</w:t>
      </w:r>
    </w:p>
    <w:p>
      <w:r>
        <w:t>• Zero-Trust Role-Based Access Control: Enforced at edge via Next.js middleware (src/middleware.ts).</w:t>
        <w:br/>
        <w:t>• Isolated Secret Admin CMS: Completely hidden from public navigation, footers, and login tabs.</w:t>
        <w:br/>
        <w:t>• Performance Targets: Sub-1.2s Largest Contentful Paint (LCP), 0.00 CLS, &lt;50ms INP.</w:t>
        <w:br/>
        <w:t>• High Availability: PgBouncer connection pooling supporting thousands of simultaneous test submissions.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