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w:t>
      </w:r>
      <w:r>
        <w:t xml:space="preserve"> </w:t>
      </w:r>
      <w:r>
        <w:t xml:space="preserve">Case</w:t>
      </w:r>
    </w:p>
    <w:p>
      <w:pPr>
        <w:pStyle w:val="Subtitle"/>
      </w:pPr>
      <w:r>
        <w:t xml:space="preserve">Cloud-Based</w:t>
      </w:r>
      <w:r>
        <w:t xml:space="preserve"> </w:t>
      </w:r>
      <w:r>
        <w:t xml:space="preserve">ERP</w:t>
      </w:r>
      <w:r>
        <w:t xml:space="preserve"> </w:t>
      </w:r>
      <w:r>
        <w:t xml:space="preserve">Application</w:t>
      </w:r>
      <w:r>
        <w:t xml:space="preserve"> </w:t>
      </w:r>
      <w:r>
        <w:t xml:space="preserve">for</w:t>
      </w:r>
      <w:r>
        <w:t xml:space="preserve"> </w:t>
      </w:r>
      <w:r>
        <w:t xml:space="preserve">Manufacturing</w:t>
      </w:r>
      <w:r>
        <w:t xml:space="preserve"> </w:t>
      </w:r>
      <w:r>
        <w:t xml:space="preserve">&amp;</w:t>
      </w:r>
      <w:r>
        <w:t xml:space="preserve"> </w:t>
      </w:r>
      <w:r>
        <w:t xml:space="preserve">Sales</w:t>
      </w:r>
      <w:r>
        <w:t xml:space="preserve"> </w:t>
      </w:r>
      <w:r>
        <w:t xml:space="preserve">Management</w:t>
      </w:r>
      <w:r>
        <w:t xml:space="preserve"> </w:t>
      </w:r>
      <w:r>
        <w:t xml:space="preserve">(Portfolio</w:t>
      </w:r>
      <w:r>
        <w:t xml:space="preserve"> </w:t>
      </w:r>
      <w:r>
        <w:t xml:space="preserve">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Prepared By</w:t>
            </w:r>
          </w:p>
        </w:tc>
        <w:tc>
          <w:tcPr/>
          <w:p>
            <w:pPr>
              <w:pStyle w:val="Compact"/>
              <w:jc w:val="left"/>
            </w:pPr>
            <w:r>
              <w:t xml:space="preserve">Sagar Agalawe (Business Analyst - Portfolio Project)</w:t>
            </w:r>
          </w:p>
        </w:tc>
      </w:tr>
      <w:tr>
        <w:tc>
          <w:tcPr/>
          <w:p>
            <w:pPr>
              <w:pStyle w:val="Compact"/>
              <w:jc w:val="left"/>
            </w:pPr>
            <w:r>
              <w:t xml:space="preserve">Organization Modeled</w:t>
            </w:r>
          </w:p>
        </w:tc>
        <w:tc>
          <w:tcPr/>
          <w:p>
            <w:pPr>
              <w:pStyle w:val="Compact"/>
              <w:jc w:val="left"/>
            </w:pPr>
            <w:r>
              <w:t xml:space="preserve">M. S. Enterprises (author’s actual employer - see disclaimer)</w:t>
            </w:r>
          </w:p>
        </w:tc>
      </w:tr>
      <w:tr>
        <w:tc>
          <w:tcPr/>
          <w:p>
            <w:pPr>
              <w:pStyle w:val="Compact"/>
              <w:jc w:val="left"/>
            </w:pPr>
            <w:r>
              <w:t xml:space="preserve">Reference</w:t>
            </w:r>
          </w:p>
        </w:tc>
        <w:tc>
          <w:tcPr/>
          <w:p>
            <w:pPr>
              <w:pStyle w:val="Compact"/>
              <w:jc w:val="left"/>
            </w:pPr>
            <w:r>
              <w:t xml:space="preserve">Precedes BRD v1.0</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Document Status</w:t>
            </w:r>
          </w:p>
        </w:tc>
        <w:tc>
          <w:tcPr/>
          <w:p>
            <w:pPr>
              <w:pStyle w:val="Compact"/>
              <w:jc w:val="left"/>
            </w:pPr>
            <w:r>
              <w:t xml:space="preserve">Draft</w:t>
            </w:r>
          </w:p>
        </w:tc>
      </w:tr>
      <w:tr>
        <w:tc>
          <w:tcPr/>
          <w:p>
            <w:pPr>
              <w:pStyle w:val="Compact"/>
              <w:jc w:val="left"/>
            </w:pPr>
            <w:r>
              <w:t xml:space="preserve">Confidentiality</w:t>
            </w:r>
          </w:p>
        </w:tc>
        <w:tc>
          <w:tcPr/>
          <w:p>
            <w:pPr>
              <w:pStyle w:val="Compact"/>
              <w:jc w:val="left"/>
            </w:pPr>
            <w:r>
              <w:t xml:space="preserve">Internal Use Only</w:t>
            </w:r>
          </w:p>
        </w:tc>
      </w:tr>
      <w:tr>
        <w:tc>
          <w:tcPr/>
          <w:p>
            <w:pPr>
              <w:pStyle w:val="Compact"/>
              <w:jc w:val="left"/>
            </w:pPr>
            <w:r>
              <w:t xml:space="preserve">Prepared Date</w:t>
            </w:r>
          </w:p>
        </w:tc>
        <w:tc>
          <w:tcPr/>
          <w:p>
            <w:pPr>
              <w:pStyle w:val="Compact"/>
              <w:jc w:val="left"/>
            </w:pPr>
            <w:r>
              <w:t xml:space="preserve">December 2025</w:t>
            </w:r>
          </w:p>
        </w:tc>
      </w:tr>
    </w:tbl>
    <w:p>
      <w:r>
        <w:pict>
          <v:rect style="width:0;height:1.5pt" o:hralign="center" o:hrstd="t" o:hr="t"/>
        </w:pict>
      </w:r>
    </w:p>
    <w:p>
      <w:pPr>
        <w:pStyle w:val="BlockText"/>
      </w:pPr>
      <w:r>
        <w:rPr>
          <w:bCs/>
          <w:b/>
        </w:rPr>
        <w:t xml:space="preserve">Portfolio Project Disclaimer:</w:t>
      </w:r>
      <w:r>
        <w:t xml:space="preserve"> </w:t>
      </w:r>
      <w:r>
        <w:t xml:space="preserve">This document is part of a self-developed Business Analyst portfolio project created for learning, skill development, and demonstration purposes. It is based on my practical exposure as an MIS Analyst at M. S. Enterprises, where I interacted with the ERP development team to discuss business workflows, reporting requirements, and data validation during a live cloud-based ERP implementation - I did not run formal stakeholder workshops or hold a Business Analyst title there. The formal BA artifacts in this portfolio (Business Case, Gap Analysis, BRD, FRD, User Stories, RTM, UAT, Wireframes, Change Request Log) were independently prepared afterward, based on that exposure, to demonstrate structured BA documentation skills. They are not official company documentation, and unless stated otherwise, all figures, timelines, approvals, and stakeholder interactions described within are illustrative estimates constructed for this case study, not actual M. S. Enterprises data.</w:t>
      </w:r>
    </w:p>
    <w:bookmarkStart w:id="20" w:name="document-history"/>
    <w:p>
      <w:pPr>
        <w:pStyle w:val="Heading2"/>
      </w:pPr>
      <w:r>
        <w:t xml:space="preserve">Document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Prepared By</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Dec 2025</w:t>
            </w:r>
          </w:p>
        </w:tc>
        <w:tc>
          <w:tcPr/>
          <w:p>
            <w:pPr>
              <w:pStyle w:val="Compact"/>
              <w:jc w:val="left"/>
            </w:pPr>
            <w:r>
              <w:t xml:space="preserve">Business Analyst</w:t>
            </w:r>
          </w:p>
        </w:tc>
        <w:tc>
          <w:tcPr/>
          <w:p>
            <w:pPr>
              <w:pStyle w:val="Compact"/>
              <w:jc w:val="left"/>
            </w:pPr>
            <w:r>
              <w:t xml:space="preserve">Initial Business Case for Sponsor approval, precedes BRD v1.0</w:t>
            </w:r>
          </w:p>
        </w:tc>
      </w:tr>
    </w:tbl>
    <w:bookmarkEnd w:id="20"/>
    <w:bookmarkStart w:id="21" w:name="executive-summary"/>
    <w:p>
      <w:pPr>
        <w:pStyle w:val="Heading2"/>
      </w:pPr>
      <w:r>
        <w:t xml:space="preserve">1. Executive Summary</w:t>
      </w:r>
    </w:p>
    <w:p>
      <w:pPr>
        <w:pStyle w:val="FirstParagraph"/>
      </w:pPr>
      <w:r>
        <w:t xml:space="preserve">This Business Case presents the justification for investing in a Cloud-based ERP Application to replace the fragmented, spreadsheet-based operations currently used across Sales, Procurement, Inventory, Production, and Accounts at M. S. Enterprises. It compares the proposed solution against three alternative options, quantifies the expected costs and benefits over a multi-year horizon, and recommends proceeding with a 6-month, Agile-delivered implementation.</w:t>
      </w:r>
    </w:p>
    <w:p>
      <w:pPr>
        <w:pStyle w:val="BodyText"/>
      </w:pPr>
      <w:r>
        <w:t xml:space="preserve">The estimated one-time implementation investment is</w:t>
      </w:r>
      <w:r>
        <w:t xml:space="preserve"> </w:t>
      </w:r>
      <w:r>
        <w:rPr>
          <w:bCs/>
          <w:b/>
        </w:rPr>
        <w:t xml:space="preserve">Rs. 7,70,000</w:t>
      </w:r>
      <w:r>
        <w:t xml:space="preserve">, with recurring annual costs of approximately</w:t>
      </w:r>
      <w:r>
        <w:t xml:space="preserve"> </w:t>
      </w:r>
      <w:r>
        <w:rPr>
          <w:bCs/>
          <w:b/>
        </w:rPr>
        <w:t xml:space="preserve">Rs. 4,50,000</w:t>
      </w:r>
      <w:r>
        <w:t xml:space="preserve">. Quantifiable annual benefits are estimated at</w:t>
      </w:r>
      <w:r>
        <w:t xml:space="preserve"> </w:t>
      </w:r>
      <w:r>
        <w:rPr>
          <w:bCs/>
          <w:b/>
        </w:rPr>
        <w:t xml:space="preserve">Rs. 5,92,000</w:t>
      </w:r>
      <w:r>
        <w:t xml:space="preserve"> </w:t>
      </w:r>
      <w:r>
        <w:t xml:space="preserve">(inclusive of a one-time working-capital benefit of Rs. 3,50,000 realized in Year 1), giving a payback period of approximately</w:t>
      </w:r>
      <w:r>
        <w:t xml:space="preserve"> </w:t>
      </w:r>
      <w:r>
        <w:rPr>
          <w:bCs/>
          <w:b/>
        </w:rPr>
        <w:t xml:space="preserve">35 months</w:t>
      </w:r>
      <w:r>
        <w:t xml:space="preserve">. Beyond the numbers, the project addresses a structural risk to the business: current tools cannot support the company’s continued order-volume growth without a proportional increase in manual headcount and error rate.</w:t>
      </w:r>
    </w:p>
    <w:bookmarkEnd w:id="21"/>
    <w:bookmarkStart w:id="22" w:name="business-problem"/>
    <w:p>
      <w:pPr>
        <w:pStyle w:val="Heading2"/>
      </w:pPr>
      <w:r>
        <w:t xml:space="preserve">2. Business Problem</w:t>
      </w:r>
    </w:p>
    <w:p>
      <w:pPr>
        <w:pStyle w:val="FirstParagraph"/>
      </w:pPr>
      <w:r>
        <w:rPr>
          <w:iCs/>
          <w:i/>
        </w:rPr>
        <w:t xml:space="preserve">Illustrative current-state observation for this portfolio case study, informed by the author’s general exposure to the company’s operations rather than audited company data.</w:t>
      </w:r>
    </w:p>
    <w:p>
      <w:pPr>
        <w:pStyle w:val="BodyText"/>
      </w:pPr>
      <w:r>
        <w:t xml:space="preserve">Order volume has grown approximately 40% over the last three years while the tools used to manage that volume - independent departmental Google Sheets and Microsoft Excel workbooks - have not changed. This has produced duplicate data entry, delayed management reporting, limited real-time inventory visibility, and a growing number of missed delivery commitments caused by the disconnect between sales orders and production scheduling. A full description of the current-state problems is provided in the accompanying Gap Analysis and BRD documents; this Business Case focuses specifically on whether the investment to fix them is financially and strategically justified.</w:t>
      </w:r>
    </w:p>
    <w:bookmarkEnd w:id="22"/>
    <w:bookmarkStart w:id="23" w:name="options-considered"/>
    <w:p>
      <w:pPr>
        <w:pStyle w:val="Heading2"/>
      </w:pPr>
      <w:r>
        <w:t xml:space="preserve">3. Options Considered</w:t>
      </w:r>
    </w:p>
    <w:p>
      <w:pPr>
        <w:pStyle w:val="FirstParagraph"/>
      </w:pPr>
      <w:r>
        <w:t xml:space="preserve">Four options were evaluated before recommending the proposed Cloud-based ERP application.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Estimated Cost</w:t>
            </w:r>
          </w:p>
        </w:tc>
        <w:tc>
          <w:tcPr/>
          <w:p>
            <w:pPr>
              <w:pStyle w:val="Compact"/>
              <w:jc w:val="left"/>
            </w:pPr>
            <w:r>
              <w:t xml:space="preserve">Fit to Requirements</w:t>
            </w:r>
          </w:p>
        </w:tc>
        <w:tc>
          <w:tcPr/>
          <w:p>
            <w:pPr>
              <w:pStyle w:val="Compact"/>
              <w:jc w:val="left"/>
            </w:pPr>
            <w:r>
              <w:t xml:space="preserve">Decision</w:t>
            </w:r>
          </w:p>
        </w:tc>
      </w:tr>
      <w:tr>
        <w:tc>
          <w:tcPr/>
          <w:p>
            <w:pPr>
              <w:pStyle w:val="Compact"/>
              <w:jc w:val="left"/>
            </w:pPr>
            <w:r>
              <w:t xml:space="preserve">A. Do Nothing</w:t>
            </w:r>
          </w:p>
        </w:tc>
        <w:tc>
          <w:tcPr/>
          <w:p>
            <w:pPr>
              <w:pStyle w:val="Compact"/>
              <w:jc w:val="left"/>
            </w:pPr>
            <w:r>
              <w:t xml:space="preserve">Continue with the current Google Sheets/Microsoft Excel-based, department-siloed process</w:t>
            </w:r>
          </w:p>
        </w:tc>
        <w:tc>
          <w:tcPr/>
          <w:p>
            <w:pPr>
              <w:pStyle w:val="Compact"/>
              <w:jc w:val="left"/>
            </w:pPr>
            <w:r>
              <w:t xml:space="preserve">Rs. 0 upfront</w:t>
            </w:r>
          </w:p>
        </w:tc>
        <w:tc>
          <w:tcPr/>
          <w:p>
            <w:pPr>
              <w:pStyle w:val="Compact"/>
              <w:jc w:val="left"/>
            </w:pPr>
            <w:r>
              <w:t xml:space="preserve">Does not scale with order growth; risk increases over time</w:t>
            </w:r>
          </w:p>
        </w:tc>
        <w:tc>
          <w:tcPr/>
          <w:p>
            <w:pPr>
              <w:pStyle w:val="Compact"/>
              <w:jc w:val="left"/>
            </w:pPr>
            <w:r>
              <w:t xml:space="preserve">Rejected</w:t>
            </w:r>
          </w:p>
        </w:tc>
      </w:tr>
      <w:tr>
        <w:tc>
          <w:tcPr/>
          <w:p>
            <w:pPr>
              <w:pStyle w:val="Compact"/>
              <w:jc w:val="left"/>
            </w:pPr>
            <w:r>
              <w:t xml:space="preserve">B. Tactical Spreadsheet Improvements</w:t>
            </w:r>
          </w:p>
        </w:tc>
        <w:tc>
          <w:tcPr/>
          <w:p>
            <w:pPr>
              <w:pStyle w:val="Compact"/>
              <w:jc w:val="left"/>
            </w:pPr>
            <w:r>
              <w:t xml:space="preserve">Standardize templates, add scripting/automation (Excel macros, Power Query, Google Apps Script) for partial automation</w:t>
            </w:r>
          </w:p>
        </w:tc>
        <w:tc>
          <w:tcPr/>
          <w:p>
            <w:pPr>
              <w:pStyle w:val="Compact"/>
              <w:jc w:val="left"/>
            </w:pPr>
            <w:r>
              <w:t xml:space="preserve">~Rs. 1,00,000</w:t>
            </w:r>
          </w:p>
        </w:tc>
        <w:tc>
          <w:tcPr/>
          <w:p>
            <w:pPr>
              <w:pStyle w:val="Compact"/>
              <w:jc w:val="left"/>
            </w:pPr>
            <w:r>
              <w:t xml:space="preserve">Reduces some manual effort but does not integrate departments or give real-time stock/credit visibility</w:t>
            </w:r>
          </w:p>
        </w:tc>
        <w:tc>
          <w:tcPr/>
          <w:p>
            <w:pPr>
              <w:pStyle w:val="Compact"/>
              <w:jc w:val="left"/>
            </w:pPr>
            <w:r>
              <w:t xml:space="preserve">Rejected</w:t>
            </w:r>
          </w:p>
        </w:tc>
      </w:tr>
      <w:tr>
        <w:tc>
          <w:tcPr/>
          <w:p>
            <w:pPr>
              <w:pStyle w:val="Compact"/>
              <w:jc w:val="left"/>
            </w:pPr>
            <w:r>
              <w:t xml:space="preserve">C. Off-the-Shelf ERP (unconfigured)</w:t>
            </w:r>
          </w:p>
        </w:tc>
        <w:tc>
          <w:tcPr/>
          <w:p>
            <w:pPr>
              <w:pStyle w:val="Compact"/>
              <w:jc w:val="left"/>
            </w:pPr>
            <w:r>
              <w:t xml:space="preserve">Generic inventory/accounting package without process-specific configuration</w:t>
            </w:r>
          </w:p>
        </w:tc>
        <w:tc>
          <w:tcPr/>
          <w:p>
            <w:pPr>
              <w:pStyle w:val="Compact"/>
              <w:jc w:val="left"/>
            </w:pPr>
            <w:r>
              <w:t xml:space="preserve">~Rs. 3,50,000/yr</w:t>
            </w:r>
          </w:p>
        </w:tc>
        <w:tc>
          <w:tcPr/>
          <w:p>
            <w:pPr>
              <w:pStyle w:val="Compact"/>
              <w:jc w:val="left"/>
            </w:pPr>
            <w:r>
              <w:t xml:space="preserve">Does not support BOM-linked production orders or the credit-check workflow the business requires</w:t>
            </w:r>
          </w:p>
        </w:tc>
        <w:tc>
          <w:tcPr/>
          <w:p>
            <w:pPr>
              <w:pStyle w:val="Compact"/>
              <w:jc w:val="left"/>
            </w:pPr>
            <w:r>
              <w:t xml:space="preserve">Rejected</w:t>
            </w:r>
          </w:p>
        </w:tc>
      </w:tr>
      <w:tr>
        <w:tc>
          <w:tcPr/>
          <w:p>
            <w:pPr>
              <w:pStyle w:val="Compact"/>
              <w:jc w:val="left"/>
            </w:pPr>
            <w:r>
              <w:t xml:space="preserve">D. Configured Cloud-based ERP Application (Recommended)</w:t>
            </w:r>
          </w:p>
        </w:tc>
        <w:tc>
          <w:tcPr/>
          <w:p>
            <w:pPr>
              <w:pStyle w:val="Compact"/>
              <w:jc w:val="left"/>
            </w:pPr>
            <w:r>
              <w:t xml:space="preserve">Cloud-based ERP application configured to the company’s actual Order-to-Delivery process, per BRD/FRD scope</w:t>
            </w:r>
          </w:p>
        </w:tc>
        <w:tc>
          <w:tcPr/>
          <w:p>
            <w:pPr>
              <w:pStyle w:val="Compact"/>
              <w:jc w:val="left"/>
            </w:pPr>
            <w:r>
              <w:t xml:space="preserve">Rs. 7,70,000 one-time + Rs. 4,50,000/yr</w:t>
            </w:r>
          </w:p>
        </w:tc>
        <w:tc>
          <w:tcPr/>
          <w:p>
            <w:pPr>
              <w:pStyle w:val="Compact"/>
              <w:jc w:val="left"/>
            </w:pPr>
            <w:r>
              <w:t xml:space="preserve">Directly addresses all identified gaps (see Gap Analysis)</w:t>
            </w:r>
          </w:p>
        </w:tc>
        <w:tc>
          <w:tcPr/>
          <w:p>
            <w:pPr>
              <w:pStyle w:val="Compact"/>
              <w:jc w:val="left"/>
            </w:pPr>
            <w:r>
              <w:rPr>
                <w:bCs/>
                <w:b/>
              </w:rPr>
              <w:t xml:space="preserve">Recommended</w:t>
            </w:r>
          </w:p>
        </w:tc>
      </w:tr>
    </w:tbl>
    <w:bookmarkEnd w:id="23"/>
    <w:bookmarkStart w:id="28" w:name="illustrative-cost-benefit-analysis"/>
    <w:p>
      <w:pPr>
        <w:pStyle w:val="Heading2"/>
      </w:pPr>
      <w:r>
        <w:t xml:space="preserve">4. Illustrative Cost-Benefit Analysis</w:t>
      </w:r>
    </w:p>
    <w:p>
      <w:pPr>
        <w:pStyle w:val="FirstParagraph"/>
      </w:pPr>
      <w:r>
        <w:rPr>
          <w:iCs/>
          <w:i/>
        </w:rPr>
        <w:t xml:space="preserve">All financial values, implementation costs, benefits, ROI, and payback calculations in this section are illustrative estimates prepared for this portfolio case study. They are not actual M. S. Enterprises financial data and should not be read as audited figures.</w:t>
      </w:r>
    </w:p>
    <w:bookmarkStart w:id="24" w:name="one-time-implementation-cost"/>
    <w:p>
      <w:pPr>
        <w:pStyle w:val="Heading3"/>
      </w:pPr>
      <w:r>
        <w:t xml:space="preserve">4.1 One-Time Implementation Cost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Cost Item</w:t>
            </w:r>
          </w:p>
        </w:tc>
        <w:tc>
          <w:tcPr/>
          <w:p>
            <w:pPr>
              <w:pStyle w:val="Compact"/>
              <w:jc w:val="left"/>
            </w:pPr>
            <w:r>
              <w:t xml:space="preserve">Amount (Rs.)</w:t>
            </w:r>
          </w:p>
        </w:tc>
      </w:tr>
      <w:tr>
        <w:tc>
          <w:tcPr/>
          <w:p>
            <w:pPr>
              <w:pStyle w:val="Compact"/>
              <w:jc w:val="left"/>
            </w:pPr>
            <w:r>
              <w:t xml:space="preserve">Configuration &amp; Customization (9 modules per FRD scope)</w:t>
            </w:r>
          </w:p>
        </w:tc>
        <w:tc>
          <w:tcPr/>
          <w:p>
            <w:pPr>
              <w:pStyle w:val="Compact"/>
              <w:jc w:val="left"/>
            </w:pPr>
            <w:r>
              <w:t xml:space="preserve">5,00,000</w:t>
            </w:r>
          </w:p>
        </w:tc>
      </w:tr>
      <w:tr>
        <w:tc>
          <w:tcPr/>
          <w:p>
            <w:pPr>
              <w:pStyle w:val="Compact"/>
              <w:jc w:val="left"/>
            </w:pPr>
            <w:r>
              <w:t xml:space="preserve">Data Migration &amp; Cleansing (Customer, Product, Vendor masters)</w:t>
            </w:r>
          </w:p>
        </w:tc>
        <w:tc>
          <w:tcPr/>
          <w:p>
            <w:pPr>
              <w:pStyle w:val="Compact"/>
              <w:jc w:val="left"/>
            </w:pPr>
            <w:r>
              <w:t xml:space="preserve">1,20,000</w:t>
            </w:r>
          </w:p>
        </w:tc>
      </w:tr>
      <w:tr>
        <w:tc>
          <w:tcPr/>
          <w:p>
            <w:pPr>
              <w:pStyle w:val="Compact"/>
              <w:jc w:val="left"/>
            </w:pPr>
            <w:r>
              <w:t xml:space="preserve">Training &amp; Change Management (6 department teams)</w:t>
            </w:r>
          </w:p>
        </w:tc>
        <w:tc>
          <w:tcPr/>
          <w:p>
            <w:pPr>
              <w:pStyle w:val="Compact"/>
              <w:jc w:val="left"/>
            </w:pPr>
            <w:r>
              <w:t xml:space="preserve">80,000</w:t>
            </w:r>
          </w:p>
        </w:tc>
      </w:tr>
      <w:tr>
        <w:tc>
          <w:tcPr/>
          <w:p>
            <w:pPr>
              <w:pStyle w:val="Compact"/>
              <w:jc w:val="left"/>
            </w:pPr>
            <w:r>
              <w:t xml:space="preserve">Contingency (10%)</w:t>
            </w:r>
          </w:p>
        </w:tc>
        <w:tc>
          <w:tcPr/>
          <w:p>
            <w:pPr>
              <w:pStyle w:val="Compact"/>
              <w:jc w:val="left"/>
            </w:pPr>
            <w:r>
              <w:t xml:space="preserve">70,000</w:t>
            </w:r>
          </w:p>
        </w:tc>
      </w:tr>
      <w:tr>
        <w:tc>
          <w:tcPr/>
          <w:p>
            <w:pPr>
              <w:pStyle w:val="Compact"/>
              <w:jc w:val="left"/>
            </w:pPr>
            <w:r>
              <w:rPr>
                <w:bCs/>
                <w:b/>
              </w:rPr>
              <w:t xml:space="preserve">Total One-Time Investment</w:t>
            </w:r>
          </w:p>
        </w:tc>
        <w:tc>
          <w:tcPr/>
          <w:p>
            <w:pPr>
              <w:pStyle w:val="Compact"/>
              <w:jc w:val="left"/>
            </w:pPr>
            <w:r>
              <w:rPr>
                <w:bCs/>
                <w:b/>
              </w:rPr>
              <w:t xml:space="preserve">7,70,000</w:t>
            </w:r>
          </w:p>
        </w:tc>
      </w:tr>
    </w:tbl>
    <w:bookmarkEnd w:id="24"/>
    <w:bookmarkStart w:id="25" w:name="recurring-annual-cost"/>
    <w:p>
      <w:pPr>
        <w:pStyle w:val="Heading3"/>
      </w:pPr>
      <w:r>
        <w:t xml:space="preserve">4.2 Recurring Annual Cost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Cost Item</w:t>
            </w:r>
          </w:p>
        </w:tc>
        <w:tc>
          <w:tcPr/>
          <w:p>
            <w:pPr>
              <w:pStyle w:val="Compact"/>
              <w:jc w:val="left"/>
            </w:pPr>
            <w:r>
              <w:t xml:space="preserve">Amount (Rs. / Year)</w:t>
            </w:r>
          </w:p>
        </w:tc>
      </w:tr>
      <w:tr>
        <w:tc>
          <w:tcPr/>
          <w:p>
            <w:pPr>
              <w:pStyle w:val="Compact"/>
              <w:jc w:val="left"/>
            </w:pPr>
            <w:r>
              <w:t xml:space="preserve">Cloud Subscription / Hosting (~35 named users)</w:t>
            </w:r>
          </w:p>
        </w:tc>
        <w:tc>
          <w:tcPr/>
          <w:p>
            <w:pPr>
              <w:pStyle w:val="Compact"/>
              <w:jc w:val="left"/>
            </w:pPr>
            <w:r>
              <w:t xml:space="preserve">3,60,000</w:t>
            </w:r>
          </w:p>
        </w:tc>
      </w:tr>
      <w:tr>
        <w:tc>
          <w:tcPr/>
          <w:p>
            <w:pPr>
              <w:pStyle w:val="Compact"/>
              <w:jc w:val="left"/>
            </w:pPr>
            <w:r>
              <w:t xml:space="preserve">Annual Support &amp; Maintenance</w:t>
            </w:r>
          </w:p>
        </w:tc>
        <w:tc>
          <w:tcPr/>
          <w:p>
            <w:pPr>
              <w:pStyle w:val="Compact"/>
              <w:jc w:val="left"/>
            </w:pPr>
            <w:r>
              <w:t xml:space="preserve">90,000</w:t>
            </w:r>
          </w:p>
        </w:tc>
      </w:tr>
      <w:tr>
        <w:tc>
          <w:tcPr/>
          <w:p>
            <w:pPr>
              <w:pStyle w:val="Compact"/>
              <w:jc w:val="left"/>
            </w:pPr>
            <w:r>
              <w:rPr>
                <w:bCs/>
                <w:b/>
              </w:rPr>
              <w:t xml:space="preserve">Total Recurring Cost</w:t>
            </w:r>
          </w:p>
        </w:tc>
        <w:tc>
          <w:tcPr/>
          <w:p>
            <w:pPr>
              <w:pStyle w:val="Compact"/>
              <w:jc w:val="left"/>
            </w:pPr>
            <w:r>
              <w:rPr>
                <w:bCs/>
                <w:b/>
              </w:rPr>
              <w:t xml:space="preserve">4,50,000</w:t>
            </w:r>
          </w:p>
        </w:tc>
      </w:tr>
    </w:tbl>
    <w:bookmarkEnd w:id="25"/>
    <w:bookmarkStart w:id="26" w:name="estimated-annual-benefit"/>
    <w:p>
      <w:pPr>
        <w:pStyle w:val="Heading3"/>
      </w:pPr>
      <w:r>
        <w:t xml:space="preserve">4.3 Estimated Annual Benefit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Benefit Item</w:t>
            </w:r>
          </w:p>
        </w:tc>
        <w:tc>
          <w:tcPr/>
          <w:p>
            <w:pPr>
              <w:pStyle w:val="Compact"/>
              <w:jc w:val="left"/>
            </w:pPr>
            <w:r>
              <w:t xml:space="preserve">Basis</w:t>
            </w:r>
          </w:p>
        </w:tc>
        <w:tc>
          <w:tcPr/>
          <w:p>
            <w:pPr>
              <w:pStyle w:val="Compact"/>
              <w:jc w:val="left"/>
            </w:pPr>
            <w:r>
              <w:t xml:space="preserve">Amount (Rs. / Year)</w:t>
            </w:r>
          </w:p>
        </w:tc>
      </w:tr>
      <w:tr>
        <w:tc>
          <w:tcPr/>
          <w:p>
            <w:pPr>
              <w:pStyle w:val="Compact"/>
              <w:jc w:val="left"/>
            </w:pPr>
            <w:r>
              <w:t xml:space="preserve">Reduced manual MIS/reporting effort</w:t>
            </w:r>
          </w:p>
        </w:tc>
        <w:tc>
          <w:tcPr/>
          <w:p>
            <w:pPr>
              <w:pStyle w:val="Compact"/>
              <w:jc w:val="left"/>
            </w:pPr>
            <w:r>
              <w:t xml:space="preserve">~20 person-hours/week saved at Rs. 300/hr blended cost</w:t>
            </w:r>
          </w:p>
        </w:tc>
        <w:tc>
          <w:tcPr/>
          <w:p>
            <w:pPr>
              <w:pStyle w:val="Compact"/>
              <w:jc w:val="left"/>
            </w:pPr>
            <w:r>
              <w:t xml:space="preserve">3,12,000</w:t>
            </w:r>
          </w:p>
        </w:tc>
      </w:tr>
      <w:tr>
        <w:tc>
          <w:tcPr/>
          <w:p>
            <w:pPr>
              <w:pStyle w:val="Compact"/>
              <w:jc w:val="left"/>
            </w:pPr>
            <w:r>
              <w:t xml:space="preserve">Reduced order errors, rework &amp; expediting</w:t>
            </w:r>
          </w:p>
        </w:tc>
        <w:tc>
          <w:tcPr/>
          <w:p>
            <w:pPr>
              <w:pStyle w:val="Compact"/>
              <w:jc w:val="left"/>
            </w:pPr>
            <w:r>
              <w:t xml:space="preserve">Estimated from current rework/return frequency</w:t>
            </w:r>
          </w:p>
        </w:tc>
        <w:tc>
          <w:tcPr/>
          <w:p>
            <w:pPr>
              <w:pStyle w:val="Compact"/>
              <w:jc w:val="left"/>
            </w:pPr>
            <w:r>
              <w:t xml:space="preserve">1,80,000</w:t>
            </w:r>
          </w:p>
        </w:tc>
      </w:tr>
      <w:tr>
        <w:tc>
          <w:tcPr/>
          <w:p>
            <w:pPr>
              <w:pStyle w:val="Compact"/>
              <w:jc w:val="left"/>
            </w:pPr>
            <w:r>
              <w:t xml:space="preserve">Reduced approval-delay related costs</w:t>
            </w:r>
          </w:p>
        </w:tc>
        <w:tc>
          <w:tcPr/>
          <w:p>
            <w:pPr>
              <w:pStyle w:val="Compact"/>
              <w:jc w:val="left"/>
            </w:pPr>
            <w:r>
              <w:t xml:space="preserve">Faster PR/PO cycle reducing rush-order premiums</w:t>
            </w:r>
          </w:p>
        </w:tc>
        <w:tc>
          <w:tcPr/>
          <w:p>
            <w:pPr>
              <w:pStyle w:val="Compact"/>
              <w:jc w:val="left"/>
            </w:pPr>
            <w:r>
              <w:t xml:space="preserve">1,00,000</w:t>
            </w:r>
          </w:p>
        </w:tc>
      </w:tr>
      <w:tr>
        <w:tc>
          <w:tcPr/>
          <w:p>
            <w:pPr>
              <w:pStyle w:val="Compact"/>
              <w:jc w:val="left"/>
            </w:pPr>
            <w:r>
              <w:rPr>
                <w:bCs/>
                <w:b/>
              </w:rPr>
              <w:t xml:space="preserve">Total Recurring Annual Benefit</w:t>
            </w:r>
          </w:p>
        </w:tc>
        <w:tc>
          <w:tcPr/>
          <w:p>
            <w:pPr>
              <w:pStyle w:val="Compact"/>
            </w:pPr>
          </w:p>
        </w:tc>
        <w:tc>
          <w:tcPr/>
          <w:p>
            <w:pPr>
              <w:pStyle w:val="Compact"/>
              <w:jc w:val="left"/>
            </w:pPr>
            <w:r>
              <w:rPr>
                <w:bCs/>
                <w:b/>
              </w:rPr>
              <w:t xml:space="preserve">5,92,000</w:t>
            </w:r>
          </w:p>
        </w:tc>
      </w:tr>
    </w:tbl>
    <w:p>
      <w:pPr>
        <w:pStyle w:val="BodyText"/>
      </w:pPr>
      <w:r>
        <w:t xml:space="preserve">In addition, a one-time working-capital benefit of approximately</w:t>
      </w:r>
      <w:r>
        <w:t xml:space="preserve"> </w:t>
      </w:r>
      <w:r>
        <w:rPr>
          <w:bCs/>
          <w:b/>
        </w:rPr>
        <w:t xml:space="preserve">Rs. 3,50,000</w:t>
      </w:r>
      <w:r>
        <w:t xml:space="preserve"> </w:t>
      </w:r>
      <w:r>
        <w:t xml:space="preserve">is expected in Year 1 from reduced excess/dead stock once real-time inventory visibility is available; this is a cash-flow benefit rather than a recurring P&amp;L saving and is treated separately in the payback calculation below.</w:t>
      </w:r>
    </w:p>
    <w:bookmarkEnd w:id="26"/>
    <w:bookmarkStart w:id="27" w:name="multi-year-cash-flow-payback"/>
    <w:p>
      <w:pPr>
        <w:pStyle w:val="Heading3"/>
      </w:pPr>
      <w:r>
        <w:t xml:space="preserve">4.4 Multi-Year Cash Flow &amp; Payback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Cost (Rs.)</w:t>
            </w:r>
          </w:p>
        </w:tc>
        <w:tc>
          <w:tcPr/>
          <w:p>
            <w:pPr>
              <w:pStyle w:val="Compact"/>
              <w:jc w:val="left"/>
            </w:pPr>
            <w:r>
              <w:t xml:space="preserve">Benefit (Rs.)</w:t>
            </w:r>
          </w:p>
        </w:tc>
        <w:tc>
          <w:tcPr/>
          <w:p>
            <w:pPr>
              <w:pStyle w:val="Compact"/>
              <w:jc w:val="left"/>
            </w:pPr>
            <w:r>
              <w:t xml:space="preserve">Net Cash Flow (Rs.)</w:t>
            </w:r>
          </w:p>
        </w:tc>
        <w:tc>
          <w:tcPr/>
          <w:p>
            <w:pPr>
              <w:pStyle w:val="Compact"/>
              <w:jc w:val="left"/>
            </w:pPr>
            <w:r>
              <w:t xml:space="preserve">Cumulative (Rs.)</w:t>
            </w:r>
          </w:p>
        </w:tc>
      </w:tr>
      <w:tr>
        <w:tc>
          <w:tcPr/>
          <w:p>
            <w:pPr>
              <w:pStyle w:val="Compact"/>
              <w:jc w:val="left"/>
            </w:pPr>
            <w:r>
              <w:t xml:space="preserve">Year 0 (Implementation)</w:t>
            </w:r>
          </w:p>
        </w:tc>
        <w:tc>
          <w:tcPr/>
          <w:p>
            <w:pPr>
              <w:pStyle w:val="Compact"/>
              <w:jc w:val="left"/>
            </w:pPr>
            <w:r>
              <w:t xml:space="preserve">7,70,000</w:t>
            </w:r>
          </w:p>
        </w:tc>
        <w:tc>
          <w:tcPr/>
          <w:p>
            <w:pPr>
              <w:pStyle w:val="Compact"/>
              <w:jc w:val="left"/>
            </w:pPr>
            <w:r>
              <w:t xml:space="preserve">0</w:t>
            </w:r>
          </w:p>
        </w:tc>
        <w:tc>
          <w:tcPr/>
          <w:p>
            <w:pPr>
              <w:pStyle w:val="Compact"/>
              <w:jc w:val="left"/>
            </w:pPr>
            <w:r>
              <w:t xml:space="preserve">(7,70,000)</w:t>
            </w:r>
          </w:p>
        </w:tc>
        <w:tc>
          <w:tcPr/>
          <w:p>
            <w:pPr>
              <w:pStyle w:val="Compact"/>
              <w:jc w:val="left"/>
            </w:pPr>
            <w:r>
              <w:t xml:space="preserve">(7,70,000)</w:t>
            </w:r>
          </w:p>
        </w:tc>
      </w:tr>
      <w:tr>
        <w:tc>
          <w:tcPr/>
          <w:p>
            <w:pPr>
              <w:pStyle w:val="Compact"/>
              <w:jc w:val="left"/>
            </w:pPr>
            <w:r>
              <w:t xml:space="preserve">Year 1</w:t>
            </w:r>
          </w:p>
        </w:tc>
        <w:tc>
          <w:tcPr/>
          <w:p>
            <w:pPr>
              <w:pStyle w:val="Compact"/>
              <w:jc w:val="left"/>
            </w:pPr>
            <w:r>
              <w:t xml:space="preserve">4,50,000</w:t>
            </w:r>
          </w:p>
        </w:tc>
        <w:tc>
          <w:tcPr/>
          <w:p>
            <w:pPr>
              <w:pStyle w:val="Compact"/>
              <w:jc w:val="left"/>
            </w:pPr>
            <w:r>
              <w:t xml:space="preserve">9,42,000*</w:t>
            </w:r>
          </w:p>
        </w:tc>
        <w:tc>
          <w:tcPr/>
          <w:p>
            <w:pPr>
              <w:pStyle w:val="Compact"/>
              <w:jc w:val="left"/>
            </w:pPr>
            <w:r>
              <w:t xml:space="preserve">4,92,000</w:t>
            </w:r>
          </w:p>
        </w:tc>
        <w:tc>
          <w:tcPr/>
          <w:p>
            <w:pPr>
              <w:pStyle w:val="Compact"/>
              <w:jc w:val="left"/>
            </w:pPr>
            <w:r>
              <w:t xml:space="preserve">(2,78,000)</w:t>
            </w:r>
          </w:p>
        </w:tc>
      </w:tr>
      <w:tr>
        <w:tc>
          <w:tcPr/>
          <w:p>
            <w:pPr>
              <w:pStyle w:val="Compact"/>
              <w:jc w:val="left"/>
            </w:pPr>
            <w:r>
              <w:t xml:space="preserve">Year 2</w:t>
            </w:r>
          </w:p>
        </w:tc>
        <w:tc>
          <w:tcPr/>
          <w:p>
            <w:pPr>
              <w:pStyle w:val="Compact"/>
              <w:jc w:val="left"/>
            </w:pPr>
            <w:r>
              <w:t xml:space="preserve">4,50,000</w:t>
            </w:r>
          </w:p>
        </w:tc>
        <w:tc>
          <w:tcPr/>
          <w:p>
            <w:pPr>
              <w:pStyle w:val="Compact"/>
              <w:jc w:val="left"/>
            </w:pPr>
            <w:r>
              <w:t xml:space="preserve">5,92,000</w:t>
            </w:r>
          </w:p>
        </w:tc>
        <w:tc>
          <w:tcPr/>
          <w:p>
            <w:pPr>
              <w:pStyle w:val="Compact"/>
              <w:jc w:val="left"/>
            </w:pPr>
            <w:r>
              <w:t xml:space="preserve">1,42,000</w:t>
            </w:r>
          </w:p>
        </w:tc>
        <w:tc>
          <w:tcPr/>
          <w:p>
            <w:pPr>
              <w:pStyle w:val="Compact"/>
              <w:jc w:val="left"/>
            </w:pPr>
            <w:r>
              <w:t xml:space="preserve">(1,36,000)</w:t>
            </w:r>
          </w:p>
        </w:tc>
      </w:tr>
      <w:tr>
        <w:tc>
          <w:tcPr/>
          <w:p>
            <w:pPr>
              <w:pStyle w:val="Compact"/>
              <w:jc w:val="left"/>
            </w:pPr>
            <w:r>
              <w:t xml:space="preserve">Year 3</w:t>
            </w:r>
          </w:p>
        </w:tc>
        <w:tc>
          <w:tcPr/>
          <w:p>
            <w:pPr>
              <w:pStyle w:val="Compact"/>
              <w:jc w:val="left"/>
            </w:pPr>
            <w:r>
              <w:t xml:space="preserve">4,50,000</w:t>
            </w:r>
          </w:p>
        </w:tc>
        <w:tc>
          <w:tcPr/>
          <w:p>
            <w:pPr>
              <w:pStyle w:val="Compact"/>
              <w:jc w:val="left"/>
            </w:pPr>
            <w:r>
              <w:t xml:space="preserve">5,92,000</w:t>
            </w:r>
          </w:p>
        </w:tc>
        <w:tc>
          <w:tcPr/>
          <w:p>
            <w:pPr>
              <w:pStyle w:val="Compact"/>
              <w:jc w:val="left"/>
            </w:pPr>
            <w:r>
              <w:t xml:space="preserve">1,42,000</w:t>
            </w:r>
          </w:p>
        </w:tc>
        <w:tc>
          <w:tcPr/>
          <w:p>
            <w:pPr>
              <w:pStyle w:val="Compact"/>
              <w:jc w:val="left"/>
            </w:pPr>
            <w:r>
              <w:t xml:space="preserve">6,000</w:t>
            </w:r>
          </w:p>
        </w:tc>
      </w:tr>
      <w:tr>
        <w:tc>
          <w:tcPr/>
          <w:p>
            <w:pPr>
              <w:pStyle w:val="Compact"/>
              <w:jc w:val="left"/>
            </w:pPr>
            <w:r>
              <w:t xml:space="preserve">Year 4</w:t>
            </w:r>
          </w:p>
        </w:tc>
        <w:tc>
          <w:tcPr/>
          <w:p>
            <w:pPr>
              <w:pStyle w:val="Compact"/>
              <w:jc w:val="left"/>
            </w:pPr>
            <w:r>
              <w:t xml:space="preserve">4,50,000</w:t>
            </w:r>
          </w:p>
        </w:tc>
        <w:tc>
          <w:tcPr/>
          <w:p>
            <w:pPr>
              <w:pStyle w:val="Compact"/>
              <w:jc w:val="left"/>
            </w:pPr>
            <w:r>
              <w:t xml:space="preserve">5,92,000</w:t>
            </w:r>
          </w:p>
        </w:tc>
        <w:tc>
          <w:tcPr/>
          <w:p>
            <w:pPr>
              <w:pStyle w:val="Compact"/>
              <w:jc w:val="left"/>
            </w:pPr>
            <w:r>
              <w:t xml:space="preserve">1,42,000</w:t>
            </w:r>
          </w:p>
        </w:tc>
        <w:tc>
          <w:tcPr/>
          <w:p>
            <w:pPr>
              <w:pStyle w:val="Compact"/>
              <w:jc w:val="left"/>
            </w:pPr>
            <w:r>
              <w:t xml:space="preserve">1,48,000</w:t>
            </w:r>
          </w:p>
        </w:tc>
      </w:tr>
      <w:tr>
        <w:tc>
          <w:tcPr/>
          <w:p>
            <w:pPr>
              <w:pStyle w:val="Compact"/>
              <w:jc w:val="left"/>
            </w:pPr>
            <w:r>
              <w:t xml:space="preserve">Year 5</w:t>
            </w:r>
          </w:p>
        </w:tc>
        <w:tc>
          <w:tcPr/>
          <w:p>
            <w:pPr>
              <w:pStyle w:val="Compact"/>
              <w:jc w:val="left"/>
            </w:pPr>
            <w:r>
              <w:t xml:space="preserve">4,50,000</w:t>
            </w:r>
          </w:p>
        </w:tc>
        <w:tc>
          <w:tcPr/>
          <w:p>
            <w:pPr>
              <w:pStyle w:val="Compact"/>
              <w:jc w:val="left"/>
            </w:pPr>
            <w:r>
              <w:t xml:space="preserve">5,92,000</w:t>
            </w:r>
          </w:p>
        </w:tc>
        <w:tc>
          <w:tcPr/>
          <w:p>
            <w:pPr>
              <w:pStyle w:val="Compact"/>
              <w:jc w:val="left"/>
            </w:pPr>
            <w:r>
              <w:t xml:space="preserve">1,42,000</w:t>
            </w:r>
          </w:p>
        </w:tc>
        <w:tc>
          <w:tcPr/>
          <w:p>
            <w:pPr>
              <w:pStyle w:val="Compact"/>
              <w:jc w:val="left"/>
            </w:pPr>
            <w:r>
              <w:t xml:space="preserve">2,90,000</w:t>
            </w:r>
          </w:p>
        </w:tc>
      </w:tr>
    </w:tbl>
    <w:p>
      <w:pPr>
        <w:pStyle w:val="BodyText"/>
      </w:pPr>
      <w:r>
        <w:rPr>
          <w:iCs/>
          <w:i/>
        </w:rPr>
        <w:t xml:space="preserve">Year 1 benefit includes the one-time Rs. 3,50,000 working-capital release in addition to the recurring Rs. 5,92,000.</w:t>
      </w:r>
    </w:p>
    <w:p>
      <w:pPr>
        <w:pStyle w:val="BodyText"/>
      </w:pPr>
      <w:r>
        <w:rPr>
          <w:bCs/>
          <w:b/>
        </w:rPr>
        <w:t xml:space="preserve">Payback period:</w:t>
      </w:r>
      <w:r>
        <w:t xml:space="preserve"> </w:t>
      </w:r>
      <w:r>
        <w:t xml:space="preserve">approximately 35 months (just under 3 years).</w:t>
      </w:r>
      <w:r>
        <w:t xml:space="preserve"> </w:t>
      </w:r>
      <w:r>
        <w:rPr>
          <w:bCs/>
          <w:b/>
        </w:rPr>
        <w:t xml:space="preserve">5-Year ROI:</w:t>
      </w:r>
      <w:r>
        <w:t xml:space="preserve"> </w:t>
      </w:r>
      <w:r>
        <w:t xml:space="preserve">approximately 9.6%, calculated on cumulative net benefit against cumulative cost. The payback period is consistent with typical ERP implementations of this scale, and the return profile improves meaningfully after Year 3, since the one-time implementation cost is fully absorbed while the annual benefit continues to recur.</w:t>
      </w:r>
    </w:p>
    <w:bookmarkEnd w:id="27"/>
    <w:bookmarkEnd w:id="28"/>
    <w:bookmarkStart w:id="29" w:name="assumptions"/>
    <w:p>
      <w:pPr>
        <w:pStyle w:val="Heading2"/>
      </w:pPr>
      <w:r>
        <w:t xml:space="preserve">5. Assumptions</w:t>
      </w:r>
    </w:p>
    <w:p>
      <w:pPr>
        <w:numPr>
          <w:ilvl w:val="0"/>
          <w:numId w:val="1001"/>
        </w:numPr>
        <w:pStyle w:val="Compact"/>
      </w:pPr>
      <w:r>
        <w:t xml:space="preserve">User count (~35) reflects current headcount across in-scope departments and does not assume near-term hiring.</w:t>
      </w:r>
    </w:p>
    <w:p>
      <w:pPr>
        <w:numPr>
          <w:ilvl w:val="0"/>
          <w:numId w:val="1001"/>
        </w:numPr>
        <w:pStyle w:val="Compact"/>
      </w:pPr>
      <w:r>
        <w:t xml:space="preserve">Labor-hour savings are based on the current MIS Analyst’s estimate of time spent on manual report compilation and reconciliation (per direct observation of the As-Is process).</w:t>
      </w:r>
    </w:p>
    <w:p>
      <w:pPr>
        <w:numPr>
          <w:ilvl w:val="0"/>
          <w:numId w:val="1001"/>
        </w:numPr>
        <w:pStyle w:val="Compact"/>
      </w:pPr>
      <w:r>
        <w:t xml:space="preserve">Benefit estimates are deliberately conservative and exclude speculative revenue-growth impact from faster order fulfillment, which is expected but not quantified here.</w:t>
      </w:r>
    </w:p>
    <w:p>
      <w:pPr>
        <w:numPr>
          <w:ilvl w:val="0"/>
          <w:numId w:val="1001"/>
        </w:numPr>
        <w:pStyle w:val="Compact"/>
      </w:pPr>
      <w:r>
        <w:t xml:space="preserve">Costs assume configuration of an existing cloud ERP platform rather than fully custom software development.</w:t>
      </w:r>
    </w:p>
    <w:bookmarkEnd w:id="29"/>
    <w:bookmarkStart w:id="30" w:name="key-risks"/>
    <w:p>
      <w:pPr>
        <w:pStyle w:val="Heading2"/>
      </w:pPr>
      <w:r>
        <w:t xml:space="preserve">6. Key Risks</w:t>
      </w:r>
    </w:p>
    <w:p>
      <w:pPr>
        <w:pStyle w:val="FirstParagraph"/>
      </w:pPr>
      <w:r>
        <w:t xml:space="preserve">The full risk register is maintained in the BRD (Section 15). The three risks most relevant to this Business Case are: (1) incomplete legacy data may extend the migration timeline and cost; (2) user adoption resistance could delay realization of the labor-saving benefits; and (3) scope creep during design could erode the cost assumptions above. Each is addressed with a specific mitigation in the BRD risk register.</w:t>
      </w:r>
    </w:p>
    <w:bookmarkEnd w:id="30"/>
    <w:bookmarkStart w:id="31" w:name="recommendation"/>
    <w:p>
      <w:pPr>
        <w:pStyle w:val="Heading2"/>
      </w:pPr>
      <w:r>
        <w:t xml:space="preserve">7. Recommendation</w:t>
      </w:r>
    </w:p>
    <w:p>
      <w:pPr>
        <w:pStyle w:val="FirstParagraph"/>
      </w:pPr>
      <w:r>
        <w:t xml:space="preserve">It is recommended that the organization proceed with</w:t>
      </w:r>
      <w:r>
        <w:t xml:space="preserve"> </w:t>
      </w:r>
      <w:r>
        <w:rPr>
          <w:bCs/>
          <w:b/>
        </w:rPr>
        <w:t xml:space="preserve">Option D - a configured Cloud-based ERP Application</w:t>
      </w:r>
      <w:r>
        <w:t xml:space="preserve">, delivered over a 6-month Agile timeline as detailed in the BRD and FRD. While the pure financial payback (approximately 35 months) is moderate rather than exceptional, the investment also directly addresses a structural operational risk - the inability of the current manual process to scale with order growth - that is not fully captured in the cost-benefit figures above. Proceeding now, while the gap between process capability and business volume is still manageable, is preferable to deferring the investment until the gap becomes a more costly and disruptive problem to fix.</w:t>
      </w:r>
    </w:p>
    <w:bookmarkEnd w:id="31"/>
    <w:bookmarkStart w:id="32" w:name="illustrative-approval-framework"/>
    <w:p>
      <w:pPr>
        <w:pStyle w:val="Heading2"/>
      </w:pPr>
      <w:r>
        <w:t xml:space="preserve">8. Illustrative Approval Framework</w:t>
      </w:r>
    </w:p>
    <w:p>
      <w:pPr>
        <w:pStyle w:val="FirstParagraph"/>
      </w:pPr>
      <w:r>
        <w:rPr>
          <w:iCs/>
          <w:i/>
        </w:rPr>
        <w:t xml:space="preserve">The roles below represent a proposed approval structure for this case study and do not indicate that actual project approvals were obtained. No signatures are included.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Chief Executive Officer</w:t>
            </w:r>
          </w:p>
        </w:tc>
        <w:tc>
          <w:tcPr/>
          <w:p>
            <w:pPr>
              <w:pStyle w:val="Compact"/>
              <w:jc w:val="left"/>
            </w:pPr>
            <w:r>
              <w:t xml:space="preserve">Project Sponsor</w:t>
            </w:r>
          </w:p>
        </w:tc>
      </w:tr>
      <w:tr>
        <w:tc>
          <w:tcPr/>
          <w:p>
            <w:pPr>
              <w:pStyle w:val="Compact"/>
              <w:jc w:val="left"/>
            </w:pPr>
            <w:r>
              <w:t xml:space="preserve">Operations Manager</w:t>
            </w:r>
          </w:p>
        </w:tc>
        <w:tc>
          <w:tcPr/>
          <w:p>
            <w:pPr>
              <w:pStyle w:val="Compact"/>
              <w:jc w:val="left"/>
            </w:pPr>
            <w:r>
              <w:t xml:space="preserve">Business Owner</w:t>
            </w:r>
          </w:p>
        </w:tc>
      </w:tr>
      <w:tr>
        <w:tc>
          <w:tcPr/>
          <w:p>
            <w:pPr>
              <w:pStyle w:val="Compact"/>
              <w:jc w:val="left"/>
            </w:pPr>
            <w:r>
              <w:t xml:space="preserve">Business Analyst</w:t>
            </w:r>
          </w:p>
        </w:tc>
        <w:tc>
          <w:tcPr/>
          <w:p>
            <w:pPr>
              <w:pStyle w:val="Compact"/>
              <w:jc w:val="left"/>
            </w:pPr>
            <w:r>
              <w:t xml:space="preserve">Requirements &amp; Documentation</w:t>
            </w:r>
          </w:p>
        </w:tc>
      </w:tr>
    </w:tbl>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
  <cp:keywords/>
  <dcterms:created xsi:type="dcterms:W3CDTF">2026-08-10T11:44:07Z</dcterms:created>
  <dcterms:modified xsi:type="dcterms:W3CDTF">2026-08-10T11:44:07Z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Cloud-Based ERP Application for Manufacturing &amp; Sales Management (Portfolio Project)</vt:lpwstr>
  </property>
</Properties>
</file>