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03366"/>
          <w:sz w:val="48"/>
        </w:rPr>
        <w:t>Library Management System</w:t>
        <w:br/>
        <w:t>Project Planning &amp; WBS</w:t>
      </w:r>
    </w:p>
    <w:p>
      <w:pPr>
        <w:spacing w:after="720"/>
        <w:jc w:val="center"/>
      </w:pPr>
      <w:r>
        <w:rPr>
          <w:rFonts w:ascii="Arial" w:hAnsi="Arial"/>
          <w:color w:val="808080"/>
          <w:sz w:val="24"/>
        </w:rPr>
        <w:t>Work Breakdown Structure and Repository Blueprint</w:t>
      </w:r>
    </w:p>
    <w:p>
      <w:pPr>
        <w:pStyle w:val="Heading1"/>
        <w:spacing w:before="360" w:after="120"/>
      </w:pPr>
      <w:r>
        <w:rPr>
          <w:rFonts w:ascii="Arial" w:hAnsi="Arial"/>
          <w:b/>
          <w:color w:val="003366"/>
          <w:sz w:val="36"/>
        </w:rPr>
        <w:t>1. Executive Summary</w:t>
      </w:r>
    </w:p>
    <w:p>
      <w:pPr>
        <w:spacing w:after="120" w:line="276" w:lineRule="auto"/>
      </w:pPr>
      <w:r>
        <w:rPr>
          <w:rFonts w:ascii="Arial" w:hAnsi="Arial"/>
          <w:i w:val="0"/>
          <w:color w:val="333333"/>
          <w:sz w:val="21"/>
        </w:rPr>
        <w:t>This project planning document outlines the Work Breakdown Structure (WBS), technology stack selection, and codebase structure for the Library Management System (LMS). It serves as the foundation for the agile development sprints tracked under Epic SCRUM-12 (Project Planning) and Task SCRUM-11 (Create Project Structure).</w:t>
      </w:r>
    </w:p>
    <w:p>
      <w:pPr>
        <w:pStyle w:val="Heading1"/>
        <w:spacing w:before="360" w:after="120"/>
      </w:pPr>
      <w:r>
        <w:rPr>
          <w:rFonts w:ascii="Arial" w:hAnsi="Arial"/>
          <w:b/>
          <w:color w:val="003366"/>
          <w:sz w:val="36"/>
        </w:rPr>
        <w:t>2. Work Breakdown Structure (WBS)</w:t>
      </w:r>
    </w:p>
    <w:p>
      <w:pPr>
        <w:spacing w:after="120" w:line="276" w:lineRule="auto"/>
      </w:pPr>
      <w:r>
        <w:rPr>
          <w:rFonts w:ascii="Arial" w:hAnsi="Arial"/>
          <w:i w:val="0"/>
          <w:color w:val="333333"/>
          <w:sz w:val="21"/>
        </w:rPr>
        <w:t>The project is structured hierarchically into 9 key phases. Each phase represents a group of deliverables required to compile, build, test, and present the system.</w:t>
      </w:r>
    </w:p>
    <w:tbl>
      <w:tblPr>
        <w:tblW w:type="auto" w:w="0"/>
        <w:tblLayout w:type="autofit"/>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880"/>
        <w:gridCol w:w="2880"/>
        <w:gridCol w:w="2880"/>
      </w:tblGrid>
      <w:tr>
        <w:tc>
          <w:tcPr>
            <w:tcW w:type="dxa" w:w="2880"/>
            <w:shd w:fill="F2F2F2"/>
            <w:tcMar>
              <w:top w:w="120" w:type="dxa"/>
              <w:bottom w:w="120" w:type="dxa"/>
              <w:left w:w="150" w:type="dxa"/>
              <w:right w:w="150" w:type="dxa"/>
            </w:tcMar>
          </w:tcPr>
          <w:p>
            <w:pPr>
              <w:jc w:val="left"/>
            </w:pPr>
            <w:r>
              <w:rPr>
                <w:rFonts w:ascii="Arial" w:hAnsi="Arial"/>
                <w:b/>
                <w:color w:val="003366"/>
                <w:sz w:val="20"/>
              </w:rPr>
              <w:t>WBS Code</w:t>
            </w:r>
          </w:p>
        </w:tc>
        <w:tc>
          <w:tcPr>
            <w:tcW w:type="dxa" w:w="2880"/>
            <w:shd w:fill="F2F2F2"/>
            <w:tcMar>
              <w:top w:w="120" w:type="dxa"/>
              <w:bottom w:w="120" w:type="dxa"/>
              <w:left w:w="150" w:type="dxa"/>
              <w:right w:w="150" w:type="dxa"/>
            </w:tcMar>
          </w:tcPr>
          <w:p>
            <w:pPr>
              <w:jc w:val="left"/>
            </w:pPr>
            <w:r>
              <w:rPr>
                <w:rFonts w:ascii="Arial" w:hAnsi="Arial"/>
                <w:b/>
                <w:color w:val="003366"/>
                <w:sz w:val="20"/>
              </w:rPr>
              <w:t>Element Name</w:t>
            </w:r>
          </w:p>
        </w:tc>
        <w:tc>
          <w:tcPr>
            <w:tcW w:type="dxa" w:w="2880"/>
            <w:shd w:fill="F2F2F2"/>
            <w:tcMar>
              <w:top w:w="120" w:type="dxa"/>
              <w:bottom w:w="120" w:type="dxa"/>
              <w:left w:w="150" w:type="dxa"/>
              <w:right w:w="150" w:type="dxa"/>
            </w:tcMar>
          </w:tcPr>
          <w:p>
            <w:pPr>
              <w:jc w:val="left"/>
            </w:pPr>
            <w:r>
              <w:rPr>
                <w:rFonts w:ascii="Arial" w:hAnsi="Arial"/>
                <w:b/>
                <w:color w:val="003366"/>
                <w:sz w:val="20"/>
              </w:rPr>
              <w:t>Deliverables &amp; Scope</w:t>
            </w:r>
          </w:p>
        </w:tc>
      </w:tr>
      <w:tr>
        <w:tc>
          <w:tcPr>
            <w:tcW w:type="dxa" w:w="2880"/>
            <w:tcMar>
              <w:top w:w="100" w:type="dxa"/>
              <w:bottom w:w="100" w:type="dxa"/>
              <w:left w:w="150" w:type="dxa"/>
              <w:right w:w="150" w:type="dxa"/>
            </w:tcMar>
          </w:tcPr>
          <w:p>
            <w:pPr>
              <w:jc w:val="left"/>
            </w:pPr>
            <w:r>
              <w:rPr>
                <w:rFonts w:ascii="Courier New" w:hAnsi="Courier New"/>
                <w:b/>
                <w:color w:val="333333"/>
                <w:sz w:val="19"/>
              </w:rPr>
              <w:t>1.0</w:t>
            </w:r>
          </w:p>
        </w:tc>
        <w:tc>
          <w:tcPr>
            <w:tcW w:type="dxa" w:w="2880"/>
            <w:tcMar>
              <w:top w:w="100" w:type="dxa"/>
              <w:bottom w:w="100" w:type="dxa"/>
              <w:left w:w="150" w:type="dxa"/>
              <w:right w:w="150" w:type="dxa"/>
            </w:tcMar>
          </w:tcPr>
          <w:p>
            <w:pPr>
              <w:jc w:val="left"/>
            </w:pPr>
            <w:r>
              <w:rPr>
                <w:rFonts w:ascii="Arial" w:hAnsi="Arial"/>
                <w:b/>
                <w:color w:val="333333"/>
                <w:sz w:val="19"/>
              </w:rPr>
              <w:t>Project Planning &amp; Setup</w:t>
            </w:r>
          </w:p>
        </w:tc>
        <w:tc>
          <w:tcPr>
            <w:tcW w:type="dxa" w:w="2880"/>
            <w:tcMar>
              <w:top w:w="100" w:type="dxa"/>
              <w:bottom w:w="100" w:type="dxa"/>
              <w:left w:w="150" w:type="dxa"/>
              <w:right w:w="150" w:type="dxa"/>
            </w:tcMar>
          </w:tcPr>
          <w:p>
            <w:pPr>
              <w:jc w:val="left"/>
            </w:pPr>
            <w:r>
              <w:rPr>
                <w:rFonts w:ascii="Arial" w:hAnsi="Arial"/>
                <w:b w:val="0"/>
                <w:color w:val="333333"/>
                <w:sz w:val="19"/>
              </w:rPr>
              <w:t>Repository initialization, directory organization, and Jira board backlog configuration.</w:t>
            </w:r>
          </w:p>
        </w:tc>
      </w:tr>
      <w:tr>
        <w:tc>
          <w:tcPr>
            <w:tcW w:type="dxa" w:w="2880"/>
            <w:tcMar>
              <w:top w:w="100" w:type="dxa"/>
              <w:bottom w:w="100" w:type="dxa"/>
              <w:left w:w="150" w:type="dxa"/>
              <w:right w:w="150" w:type="dxa"/>
            </w:tcMar>
          </w:tcPr>
          <w:p>
            <w:pPr>
              <w:jc w:val="left"/>
            </w:pPr>
            <w:r>
              <w:rPr>
                <w:rFonts w:ascii="Courier New" w:hAnsi="Courier New"/>
                <w:b w:val="0"/>
                <w:color w:val="333333"/>
                <w:sz w:val="19"/>
              </w:rPr>
              <w:t>1.1</w:t>
            </w:r>
          </w:p>
        </w:tc>
        <w:tc>
          <w:tcPr>
            <w:tcW w:type="dxa" w:w="2880"/>
            <w:tcMar>
              <w:top w:w="100" w:type="dxa"/>
              <w:bottom w:w="100" w:type="dxa"/>
              <w:left w:w="150" w:type="dxa"/>
              <w:right w:w="150" w:type="dxa"/>
            </w:tcMar>
          </w:tcPr>
          <w:p>
            <w:pPr>
              <w:jc w:val="left"/>
            </w:pPr>
            <w:r>
              <w:rPr>
                <w:rFonts w:ascii="Arial" w:hAnsi="Arial"/>
                <w:b w:val="0"/>
                <w:color w:val="333333"/>
                <w:sz w:val="19"/>
              </w:rPr>
              <w:t>Initialize Repository</w:t>
            </w:r>
          </w:p>
        </w:tc>
        <w:tc>
          <w:tcPr>
            <w:tcW w:type="dxa" w:w="2880"/>
            <w:tcMar>
              <w:top w:w="100" w:type="dxa"/>
              <w:bottom w:w="100" w:type="dxa"/>
              <w:left w:w="150" w:type="dxa"/>
              <w:right w:w="150" w:type="dxa"/>
            </w:tcMar>
          </w:tcPr>
          <w:p>
            <w:pPr>
              <w:jc w:val="left"/>
            </w:pPr>
            <w:r>
              <w:rPr>
                <w:rFonts w:ascii="Arial" w:hAnsi="Arial"/>
                <w:b w:val="0"/>
                <w:color w:val="333333"/>
                <w:sz w:val="19"/>
              </w:rPr>
              <w:t>Git repository bootstrap, directory templates, and contributing documentation.</w:t>
            </w:r>
          </w:p>
        </w:tc>
      </w:tr>
      <w:tr>
        <w:tc>
          <w:tcPr>
            <w:tcW w:type="dxa" w:w="2880"/>
            <w:tcMar>
              <w:top w:w="100" w:type="dxa"/>
              <w:bottom w:w="100" w:type="dxa"/>
              <w:left w:w="150" w:type="dxa"/>
              <w:right w:w="150" w:type="dxa"/>
            </w:tcMar>
          </w:tcPr>
          <w:p>
            <w:pPr>
              <w:jc w:val="left"/>
            </w:pPr>
            <w:r>
              <w:rPr>
                <w:rFonts w:ascii="Courier New" w:hAnsi="Courier New"/>
                <w:b w:val="0"/>
                <w:color w:val="333333"/>
                <w:sz w:val="19"/>
              </w:rPr>
              <w:t>1.2</w:t>
            </w:r>
          </w:p>
        </w:tc>
        <w:tc>
          <w:tcPr>
            <w:tcW w:type="dxa" w:w="2880"/>
            <w:tcMar>
              <w:top w:w="100" w:type="dxa"/>
              <w:bottom w:w="100" w:type="dxa"/>
              <w:left w:w="150" w:type="dxa"/>
              <w:right w:w="150" w:type="dxa"/>
            </w:tcMar>
          </w:tcPr>
          <w:p>
            <w:pPr>
              <w:jc w:val="left"/>
            </w:pPr>
            <w:r>
              <w:rPr>
                <w:rFonts w:ascii="Arial" w:hAnsi="Arial"/>
                <w:b w:val="0"/>
                <w:color w:val="333333"/>
                <w:sz w:val="19"/>
              </w:rPr>
              <w:t>Setup Dev Environment</w:t>
            </w:r>
          </w:p>
        </w:tc>
        <w:tc>
          <w:tcPr>
            <w:tcW w:type="dxa" w:w="2880"/>
            <w:tcMar>
              <w:top w:w="100" w:type="dxa"/>
              <w:bottom w:w="100" w:type="dxa"/>
              <w:left w:w="150" w:type="dxa"/>
              <w:right w:w="150" w:type="dxa"/>
            </w:tcMar>
          </w:tcPr>
          <w:p>
            <w:pPr>
              <w:jc w:val="left"/>
            </w:pPr>
            <w:r>
              <w:rPr>
                <w:rFonts w:ascii="Arial" w:hAnsi="Arial"/>
                <w:b w:val="0"/>
                <w:color w:val="333333"/>
                <w:sz w:val="19"/>
              </w:rPr>
              <w:t>Vite builder configuration, TypeScript compilation flags, and NPM dependency installations.</w:t>
            </w:r>
          </w:p>
        </w:tc>
      </w:tr>
      <w:tr>
        <w:tc>
          <w:tcPr>
            <w:tcW w:type="dxa" w:w="2880"/>
            <w:tcMar>
              <w:top w:w="100" w:type="dxa"/>
              <w:bottom w:w="100" w:type="dxa"/>
              <w:left w:w="150" w:type="dxa"/>
              <w:right w:w="150" w:type="dxa"/>
            </w:tcMar>
          </w:tcPr>
          <w:p>
            <w:pPr>
              <w:jc w:val="left"/>
            </w:pPr>
            <w:r>
              <w:rPr>
                <w:rFonts w:ascii="Courier New" w:hAnsi="Courier New"/>
                <w:b w:val="0"/>
                <w:color w:val="333333"/>
                <w:sz w:val="19"/>
              </w:rPr>
              <w:t>1.3</w:t>
            </w:r>
          </w:p>
        </w:tc>
        <w:tc>
          <w:tcPr>
            <w:tcW w:type="dxa" w:w="2880"/>
            <w:tcMar>
              <w:top w:w="100" w:type="dxa"/>
              <w:bottom w:w="100" w:type="dxa"/>
              <w:left w:w="150" w:type="dxa"/>
              <w:right w:w="150" w:type="dxa"/>
            </w:tcMar>
          </w:tcPr>
          <w:p>
            <w:pPr>
              <w:jc w:val="left"/>
            </w:pPr>
            <w:r>
              <w:rPr>
                <w:rFonts w:ascii="Arial" w:hAnsi="Arial"/>
                <w:b w:val="0"/>
                <w:color w:val="333333"/>
                <w:sz w:val="19"/>
              </w:rPr>
              <w:t>Setup Jira Board</w:t>
            </w:r>
          </w:p>
        </w:tc>
        <w:tc>
          <w:tcPr>
            <w:tcW w:type="dxa" w:w="2880"/>
            <w:tcMar>
              <w:top w:w="100" w:type="dxa"/>
              <w:bottom w:w="100" w:type="dxa"/>
              <w:left w:w="150" w:type="dxa"/>
              <w:right w:w="150" w:type="dxa"/>
            </w:tcMar>
          </w:tcPr>
          <w:p>
            <w:pPr>
              <w:jc w:val="left"/>
            </w:pPr>
            <w:r>
              <w:rPr>
                <w:rFonts w:ascii="Arial" w:hAnsi="Arial"/>
                <w:b w:val="0"/>
                <w:color w:val="333333"/>
                <w:sz w:val="19"/>
              </w:rPr>
              <w:t>Configuration of Epics, task assignments, and Sprint 1 parameters.</w:t>
            </w:r>
          </w:p>
        </w:tc>
      </w:tr>
      <w:tr>
        <w:tc>
          <w:tcPr>
            <w:tcW w:type="dxa" w:w="2880"/>
            <w:tcMar>
              <w:top w:w="100" w:type="dxa"/>
              <w:bottom w:w="100" w:type="dxa"/>
              <w:left w:w="150" w:type="dxa"/>
              <w:right w:w="150" w:type="dxa"/>
            </w:tcMar>
          </w:tcPr>
          <w:p>
            <w:pPr>
              <w:jc w:val="left"/>
            </w:pPr>
            <w:r>
              <w:rPr>
                <w:rFonts w:ascii="Courier New" w:hAnsi="Courier New"/>
                <w:b/>
                <w:color w:val="333333"/>
                <w:sz w:val="19"/>
              </w:rPr>
              <w:t>2.0</w:t>
            </w:r>
          </w:p>
        </w:tc>
        <w:tc>
          <w:tcPr>
            <w:tcW w:type="dxa" w:w="2880"/>
            <w:tcMar>
              <w:top w:w="100" w:type="dxa"/>
              <w:bottom w:w="100" w:type="dxa"/>
              <w:left w:w="150" w:type="dxa"/>
              <w:right w:w="150" w:type="dxa"/>
            </w:tcMar>
          </w:tcPr>
          <w:p>
            <w:pPr>
              <w:jc w:val="left"/>
            </w:pPr>
            <w:r>
              <w:rPr>
                <w:rFonts w:ascii="Arial" w:hAnsi="Arial"/>
                <w:b/>
                <w:color w:val="333333"/>
                <w:sz w:val="19"/>
              </w:rPr>
              <w:t>Requirement Analysis</w:t>
            </w:r>
          </w:p>
        </w:tc>
        <w:tc>
          <w:tcPr>
            <w:tcW w:type="dxa" w:w="2880"/>
            <w:tcMar>
              <w:top w:w="100" w:type="dxa"/>
              <w:bottom w:w="100" w:type="dxa"/>
              <w:left w:w="150" w:type="dxa"/>
              <w:right w:w="150" w:type="dxa"/>
            </w:tcMar>
          </w:tcPr>
          <w:p>
            <w:pPr>
              <w:jc w:val="left"/>
            </w:pPr>
            <w:r>
              <w:rPr>
                <w:rFonts w:ascii="Arial" w:hAnsi="Arial"/>
                <w:b w:val="0"/>
                <w:color w:val="333333"/>
                <w:sz w:val="19"/>
              </w:rPr>
              <w:t>Formulation of system rules, software requirements, and actors use cases.</w:t>
            </w:r>
          </w:p>
        </w:tc>
      </w:tr>
      <w:tr>
        <w:tc>
          <w:tcPr>
            <w:tcW w:type="dxa" w:w="2880"/>
            <w:tcMar>
              <w:top w:w="100" w:type="dxa"/>
              <w:bottom w:w="100" w:type="dxa"/>
              <w:left w:w="150" w:type="dxa"/>
              <w:right w:w="150" w:type="dxa"/>
            </w:tcMar>
          </w:tcPr>
          <w:p>
            <w:pPr>
              <w:jc w:val="left"/>
            </w:pPr>
            <w:r>
              <w:rPr>
                <w:rFonts w:ascii="Courier New" w:hAnsi="Courier New"/>
                <w:b w:val="0"/>
                <w:color w:val="333333"/>
                <w:sz w:val="19"/>
              </w:rPr>
              <w:t>2.1</w:t>
            </w:r>
          </w:p>
        </w:tc>
        <w:tc>
          <w:tcPr>
            <w:tcW w:type="dxa" w:w="2880"/>
            <w:tcMar>
              <w:top w:w="100" w:type="dxa"/>
              <w:bottom w:w="100" w:type="dxa"/>
              <w:left w:w="150" w:type="dxa"/>
              <w:right w:w="150" w:type="dxa"/>
            </w:tcMar>
          </w:tcPr>
          <w:p>
            <w:pPr>
              <w:jc w:val="left"/>
            </w:pPr>
            <w:r>
              <w:rPr>
                <w:rFonts w:ascii="Arial" w:hAnsi="Arial"/>
                <w:b w:val="0"/>
                <w:color w:val="333333"/>
                <w:sz w:val="19"/>
              </w:rPr>
              <w:t>Draft SRS Document</w:t>
            </w:r>
          </w:p>
        </w:tc>
        <w:tc>
          <w:tcPr>
            <w:tcW w:type="dxa" w:w="2880"/>
            <w:tcMar>
              <w:top w:w="100" w:type="dxa"/>
              <w:bottom w:w="100" w:type="dxa"/>
              <w:left w:w="150" w:type="dxa"/>
              <w:right w:w="150" w:type="dxa"/>
            </w:tcMar>
          </w:tcPr>
          <w:p>
            <w:pPr>
              <w:jc w:val="left"/>
            </w:pPr>
            <w:r>
              <w:rPr>
                <w:rFonts w:ascii="Arial" w:hAnsi="Arial"/>
                <w:b w:val="0"/>
                <w:color w:val="333333"/>
                <w:sz w:val="19"/>
              </w:rPr>
              <w:t>Detailed write-up of functional and non-functional rules of library procedures.</w:t>
            </w:r>
          </w:p>
        </w:tc>
      </w:tr>
      <w:tr>
        <w:tc>
          <w:tcPr>
            <w:tcW w:type="dxa" w:w="2880"/>
            <w:tcMar>
              <w:top w:w="100" w:type="dxa"/>
              <w:bottom w:w="100" w:type="dxa"/>
              <w:left w:w="150" w:type="dxa"/>
              <w:right w:w="150" w:type="dxa"/>
            </w:tcMar>
          </w:tcPr>
          <w:p>
            <w:pPr>
              <w:jc w:val="left"/>
            </w:pPr>
            <w:r>
              <w:rPr>
                <w:rFonts w:ascii="Courier New" w:hAnsi="Courier New"/>
                <w:b w:val="0"/>
                <w:color w:val="333333"/>
                <w:sz w:val="19"/>
              </w:rPr>
              <w:t>2.2</w:t>
            </w:r>
          </w:p>
        </w:tc>
        <w:tc>
          <w:tcPr>
            <w:tcW w:type="dxa" w:w="2880"/>
            <w:tcMar>
              <w:top w:w="100" w:type="dxa"/>
              <w:bottom w:w="100" w:type="dxa"/>
              <w:left w:w="150" w:type="dxa"/>
              <w:right w:w="150" w:type="dxa"/>
            </w:tcMar>
          </w:tcPr>
          <w:p>
            <w:pPr>
              <w:jc w:val="left"/>
            </w:pPr>
            <w:r>
              <w:rPr>
                <w:rFonts w:ascii="Arial" w:hAnsi="Arial"/>
                <w:b w:val="0"/>
                <w:color w:val="333333"/>
                <w:sz w:val="19"/>
              </w:rPr>
              <w:t>Define Use Case Models</w:t>
            </w:r>
          </w:p>
        </w:tc>
        <w:tc>
          <w:tcPr>
            <w:tcW w:type="dxa" w:w="2880"/>
            <w:tcMar>
              <w:top w:w="100" w:type="dxa"/>
              <w:bottom w:w="100" w:type="dxa"/>
              <w:left w:w="150" w:type="dxa"/>
              <w:right w:w="150" w:type="dxa"/>
            </w:tcMar>
          </w:tcPr>
          <w:p>
            <w:pPr>
              <w:jc w:val="left"/>
            </w:pPr>
            <w:r>
              <w:rPr>
                <w:rFonts w:ascii="Arial" w:hAnsi="Arial"/>
                <w:b w:val="0"/>
                <w:color w:val="333333"/>
                <w:sz w:val="19"/>
              </w:rPr>
              <w:t>Flowcharts tracing librarian actions vs. student catalog lookups.</w:t>
            </w:r>
          </w:p>
        </w:tc>
      </w:tr>
      <w:tr>
        <w:tc>
          <w:tcPr>
            <w:tcW w:type="dxa" w:w="2880"/>
            <w:tcMar>
              <w:top w:w="100" w:type="dxa"/>
              <w:bottom w:w="100" w:type="dxa"/>
              <w:left w:w="150" w:type="dxa"/>
              <w:right w:w="150" w:type="dxa"/>
            </w:tcMar>
          </w:tcPr>
          <w:p>
            <w:pPr>
              <w:jc w:val="left"/>
            </w:pPr>
            <w:r>
              <w:rPr>
                <w:rFonts w:ascii="Courier New" w:hAnsi="Courier New"/>
                <w:b/>
                <w:color w:val="333333"/>
                <w:sz w:val="19"/>
              </w:rPr>
              <w:t>3.0</w:t>
            </w:r>
          </w:p>
        </w:tc>
        <w:tc>
          <w:tcPr>
            <w:tcW w:type="dxa" w:w="2880"/>
            <w:tcMar>
              <w:top w:w="100" w:type="dxa"/>
              <w:bottom w:w="100" w:type="dxa"/>
              <w:left w:w="150" w:type="dxa"/>
              <w:right w:w="150" w:type="dxa"/>
            </w:tcMar>
          </w:tcPr>
          <w:p>
            <w:pPr>
              <w:jc w:val="left"/>
            </w:pPr>
            <w:r>
              <w:rPr>
                <w:rFonts w:ascii="Arial" w:hAnsi="Arial"/>
                <w:b/>
                <w:color w:val="333333"/>
                <w:sz w:val="19"/>
              </w:rPr>
              <w:t>System Design</w:t>
            </w:r>
          </w:p>
        </w:tc>
        <w:tc>
          <w:tcPr>
            <w:tcW w:type="dxa" w:w="2880"/>
            <w:tcMar>
              <w:top w:w="100" w:type="dxa"/>
              <w:bottom w:w="100" w:type="dxa"/>
              <w:left w:w="150" w:type="dxa"/>
              <w:right w:w="150" w:type="dxa"/>
            </w:tcMar>
          </w:tcPr>
          <w:p>
            <w:pPr>
              <w:jc w:val="left"/>
            </w:pPr>
            <w:r>
              <w:rPr>
                <w:rFonts w:ascii="Arial" w:hAnsi="Arial"/>
                <w:b w:val="0"/>
                <w:color w:val="333333"/>
                <w:sz w:val="19"/>
              </w:rPr>
              <w:t>Relational database constraints mapping, normalization, and page wireframe drawings.</w:t>
            </w:r>
          </w:p>
        </w:tc>
      </w:tr>
      <w:tr>
        <w:tc>
          <w:tcPr>
            <w:tcW w:type="dxa" w:w="2880"/>
            <w:tcMar>
              <w:top w:w="100" w:type="dxa"/>
              <w:bottom w:w="100" w:type="dxa"/>
              <w:left w:w="150" w:type="dxa"/>
              <w:right w:w="150" w:type="dxa"/>
            </w:tcMar>
          </w:tcPr>
          <w:p>
            <w:pPr>
              <w:jc w:val="left"/>
            </w:pPr>
            <w:r>
              <w:rPr>
                <w:rFonts w:ascii="Courier New" w:hAnsi="Courier New"/>
                <w:b w:val="0"/>
                <w:color w:val="333333"/>
                <w:sz w:val="19"/>
              </w:rPr>
              <w:t>3.1</w:t>
            </w:r>
          </w:p>
        </w:tc>
        <w:tc>
          <w:tcPr>
            <w:tcW w:type="dxa" w:w="2880"/>
            <w:tcMar>
              <w:top w:w="100" w:type="dxa"/>
              <w:bottom w:w="100" w:type="dxa"/>
              <w:left w:w="150" w:type="dxa"/>
              <w:right w:w="150" w:type="dxa"/>
            </w:tcMar>
          </w:tcPr>
          <w:p>
            <w:pPr>
              <w:jc w:val="left"/>
            </w:pPr>
            <w:r>
              <w:rPr>
                <w:rFonts w:ascii="Arial" w:hAnsi="Arial"/>
                <w:b w:val="0"/>
                <w:color w:val="333333"/>
                <w:sz w:val="19"/>
              </w:rPr>
              <w:t>Design ER Diagram</w:t>
            </w:r>
          </w:p>
        </w:tc>
        <w:tc>
          <w:tcPr>
            <w:tcW w:type="dxa" w:w="2880"/>
            <w:tcMar>
              <w:top w:w="100" w:type="dxa"/>
              <w:bottom w:w="100" w:type="dxa"/>
              <w:left w:w="150" w:type="dxa"/>
              <w:right w:w="150" w:type="dxa"/>
            </w:tcMar>
          </w:tcPr>
          <w:p>
            <w:pPr>
              <w:jc w:val="left"/>
            </w:pPr>
            <w:r>
              <w:rPr>
                <w:rFonts w:ascii="Arial" w:hAnsi="Arial"/>
                <w:b w:val="0"/>
                <w:color w:val="333333"/>
                <w:sz w:val="19"/>
              </w:rPr>
              <w:t>Primary/foreign keys modeling and entities mapping.</w:t>
            </w:r>
          </w:p>
        </w:tc>
      </w:tr>
      <w:tr>
        <w:tc>
          <w:tcPr>
            <w:tcW w:type="dxa" w:w="2880"/>
            <w:tcMar>
              <w:top w:w="100" w:type="dxa"/>
              <w:bottom w:w="100" w:type="dxa"/>
              <w:left w:w="150" w:type="dxa"/>
              <w:right w:w="150" w:type="dxa"/>
            </w:tcMar>
          </w:tcPr>
          <w:p>
            <w:pPr>
              <w:jc w:val="left"/>
            </w:pPr>
            <w:r>
              <w:rPr>
                <w:rFonts w:ascii="Courier New" w:hAnsi="Courier New"/>
                <w:b w:val="0"/>
                <w:color w:val="333333"/>
                <w:sz w:val="19"/>
              </w:rPr>
              <w:t>3.2</w:t>
            </w:r>
          </w:p>
        </w:tc>
        <w:tc>
          <w:tcPr>
            <w:tcW w:type="dxa" w:w="2880"/>
            <w:tcMar>
              <w:top w:w="100" w:type="dxa"/>
              <w:bottom w:w="100" w:type="dxa"/>
              <w:left w:w="150" w:type="dxa"/>
              <w:right w:w="150" w:type="dxa"/>
            </w:tcMar>
          </w:tcPr>
          <w:p>
            <w:pPr>
              <w:jc w:val="left"/>
            </w:pPr>
            <w:r>
              <w:rPr>
                <w:rFonts w:ascii="Arial" w:hAnsi="Arial"/>
                <w:b w:val="0"/>
                <w:color w:val="333333"/>
                <w:sz w:val="19"/>
              </w:rPr>
              <w:t>Define SQL Schemas</w:t>
            </w:r>
          </w:p>
        </w:tc>
        <w:tc>
          <w:tcPr>
            <w:tcW w:type="dxa" w:w="2880"/>
            <w:tcMar>
              <w:top w:w="100" w:type="dxa"/>
              <w:bottom w:w="100" w:type="dxa"/>
              <w:left w:w="150" w:type="dxa"/>
              <w:right w:w="150" w:type="dxa"/>
            </w:tcMar>
          </w:tcPr>
          <w:p>
            <w:pPr>
              <w:jc w:val="left"/>
            </w:pPr>
            <w:r>
              <w:rPr>
                <w:rFonts w:ascii="Arial" w:hAnsi="Arial"/>
                <w:b w:val="0"/>
                <w:color w:val="333333"/>
                <w:sz w:val="19"/>
              </w:rPr>
              <w:t>Tables creation queries writing and attribute restrictions configuration.</w:t>
            </w:r>
          </w:p>
        </w:tc>
      </w:tr>
      <w:tr>
        <w:tc>
          <w:tcPr>
            <w:tcW w:type="dxa" w:w="2880"/>
            <w:tcMar>
              <w:top w:w="100" w:type="dxa"/>
              <w:bottom w:w="100" w:type="dxa"/>
              <w:left w:w="150" w:type="dxa"/>
              <w:right w:w="150" w:type="dxa"/>
            </w:tcMar>
          </w:tcPr>
          <w:p>
            <w:pPr>
              <w:jc w:val="left"/>
            </w:pPr>
            <w:r>
              <w:rPr>
                <w:rFonts w:ascii="Courier New" w:hAnsi="Courier New"/>
                <w:b/>
                <w:color w:val="333333"/>
                <w:sz w:val="19"/>
              </w:rPr>
              <w:t>4.0</w:t>
            </w:r>
          </w:p>
        </w:tc>
        <w:tc>
          <w:tcPr>
            <w:tcW w:type="dxa" w:w="2880"/>
            <w:tcMar>
              <w:top w:w="100" w:type="dxa"/>
              <w:bottom w:w="100" w:type="dxa"/>
              <w:left w:w="150" w:type="dxa"/>
              <w:right w:w="150" w:type="dxa"/>
            </w:tcMar>
          </w:tcPr>
          <w:p>
            <w:pPr>
              <w:jc w:val="left"/>
            </w:pPr>
            <w:r>
              <w:rPr>
                <w:rFonts w:ascii="Arial" w:hAnsi="Arial"/>
                <w:b/>
                <w:color w:val="333333"/>
                <w:sz w:val="19"/>
              </w:rPr>
              <w:t>User Authentication</w:t>
            </w:r>
          </w:p>
        </w:tc>
        <w:tc>
          <w:tcPr>
            <w:tcW w:type="dxa" w:w="2880"/>
            <w:tcMar>
              <w:top w:w="100" w:type="dxa"/>
              <w:bottom w:w="100" w:type="dxa"/>
              <w:left w:w="150" w:type="dxa"/>
              <w:right w:w="150" w:type="dxa"/>
            </w:tcMar>
          </w:tcPr>
          <w:p>
            <w:pPr>
              <w:jc w:val="left"/>
            </w:pPr>
            <w:r>
              <w:rPr>
                <w:rFonts w:ascii="Arial" w:hAnsi="Arial"/>
                <w:b w:val="0"/>
                <w:color w:val="333333"/>
                <w:sz w:val="19"/>
              </w:rPr>
              <w:t>Secure sign-in UI, credential checks, JWT tokens issuing, and role authorization.</w:t>
            </w:r>
          </w:p>
        </w:tc>
      </w:tr>
      <w:tr>
        <w:tc>
          <w:tcPr>
            <w:tcW w:type="dxa" w:w="2880"/>
            <w:tcMar>
              <w:top w:w="100" w:type="dxa"/>
              <w:bottom w:w="100" w:type="dxa"/>
              <w:left w:w="150" w:type="dxa"/>
              <w:right w:w="150" w:type="dxa"/>
            </w:tcMar>
          </w:tcPr>
          <w:p>
            <w:pPr>
              <w:jc w:val="left"/>
            </w:pPr>
            <w:r>
              <w:rPr>
                <w:rFonts w:ascii="Courier New" w:hAnsi="Courier New"/>
                <w:b/>
                <w:color w:val="333333"/>
                <w:sz w:val="19"/>
              </w:rPr>
              <w:t>5.0</w:t>
            </w:r>
          </w:p>
        </w:tc>
        <w:tc>
          <w:tcPr>
            <w:tcW w:type="dxa" w:w="2880"/>
            <w:tcMar>
              <w:top w:w="100" w:type="dxa"/>
              <w:bottom w:w="100" w:type="dxa"/>
              <w:left w:w="150" w:type="dxa"/>
              <w:right w:w="150" w:type="dxa"/>
            </w:tcMar>
          </w:tcPr>
          <w:p>
            <w:pPr>
              <w:jc w:val="left"/>
            </w:pPr>
            <w:r>
              <w:rPr>
                <w:rFonts w:ascii="Arial" w:hAnsi="Arial"/>
                <w:b/>
                <w:color w:val="333333"/>
                <w:sz w:val="19"/>
              </w:rPr>
              <w:t>Book Management</w:t>
            </w:r>
          </w:p>
        </w:tc>
        <w:tc>
          <w:tcPr>
            <w:tcW w:type="dxa" w:w="2880"/>
            <w:tcMar>
              <w:top w:w="100" w:type="dxa"/>
              <w:bottom w:w="100" w:type="dxa"/>
              <w:left w:w="150" w:type="dxa"/>
              <w:right w:w="150" w:type="dxa"/>
            </w:tcMar>
          </w:tcPr>
          <w:p>
            <w:pPr>
              <w:jc w:val="left"/>
            </w:pPr>
            <w:r>
              <w:rPr>
                <w:rFonts w:ascii="Arial" w:hAnsi="Arial"/>
                <w:b w:val="0"/>
                <w:color w:val="333333"/>
                <w:sz w:val="19"/>
              </w:rPr>
              <w:t>Inventory catalog CRUD controls, category selectors, and search index query.</w:t>
            </w:r>
          </w:p>
        </w:tc>
      </w:tr>
      <w:tr>
        <w:tc>
          <w:tcPr>
            <w:tcW w:type="dxa" w:w="2880"/>
            <w:tcMar>
              <w:top w:w="100" w:type="dxa"/>
              <w:bottom w:w="100" w:type="dxa"/>
              <w:left w:w="150" w:type="dxa"/>
              <w:right w:w="150" w:type="dxa"/>
            </w:tcMar>
          </w:tcPr>
          <w:p>
            <w:pPr>
              <w:jc w:val="left"/>
            </w:pPr>
            <w:r>
              <w:rPr>
                <w:rFonts w:ascii="Courier New" w:hAnsi="Courier New"/>
                <w:b/>
                <w:color w:val="333333"/>
                <w:sz w:val="19"/>
              </w:rPr>
              <w:t>6.0</w:t>
            </w:r>
          </w:p>
        </w:tc>
        <w:tc>
          <w:tcPr>
            <w:tcW w:type="dxa" w:w="2880"/>
            <w:tcMar>
              <w:top w:w="100" w:type="dxa"/>
              <w:bottom w:w="100" w:type="dxa"/>
              <w:left w:w="150" w:type="dxa"/>
              <w:right w:w="150" w:type="dxa"/>
            </w:tcMar>
          </w:tcPr>
          <w:p>
            <w:pPr>
              <w:jc w:val="left"/>
            </w:pPr>
            <w:r>
              <w:rPr>
                <w:rFonts w:ascii="Arial" w:hAnsi="Arial"/>
                <w:b/>
                <w:color w:val="333333"/>
                <w:sz w:val="19"/>
              </w:rPr>
              <w:t>Member Management</w:t>
            </w:r>
          </w:p>
        </w:tc>
        <w:tc>
          <w:tcPr>
            <w:tcW w:type="dxa" w:w="2880"/>
            <w:tcMar>
              <w:top w:w="100" w:type="dxa"/>
              <w:bottom w:w="100" w:type="dxa"/>
              <w:left w:w="150" w:type="dxa"/>
              <w:right w:w="150" w:type="dxa"/>
            </w:tcMar>
          </w:tcPr>
          <w:p>
            <w:pPr>
              <w:jc w:val="left"/>
            </w:pPr>
            <w:r>
              <w:rPr>
                <w:rFonts w:ascii="Arial" w:hAnsi="Arial"/>
                <w:b w:val="0"/>
                <w:color w:val="333333"/>
                <w:sz w:val="19"/>
              </w:rPr>
              <w:t>Member profiles registration forms, status changes, and cards generation.</w:t>
            </w:r>
          </w:p>
        </w:tc>
      </w:tr>
      <w:tr>
        <w:tc>
          <w:tcPr>
            <w:tcW w:type="dxa" w:w="2880"/>
            <w:tcMar>
              <w:top w:w="100" w:type="dxa"/>
              <w:bottom w:w="100" w:type="dxa"/>
              <w:left w:w="150" w:type="dxa"/>
              <w:right w:w="150" w:type="dxa"/>
            </w:tcMar>
          </w:tcPr>
          <w:p>
            <w:pPr>
              <w:jc w:val="left"/>
            </w:pPr>
            <w:r>
              <w:rPr>
                <w:rFonts w:ascii="Courier New" w:hAnsi="Courier New"/>
                <w:b/>
                <w:color w:val="333333"/>
                <w:sz w:val="19"/>
              </w:rPr>
              <w:t>7.0</w:t>
            </w:r>
          </w:p>
        </w:tc>
        <w:tc>
          <w:tcPr>
            <w:tcW w:type="dxa" w:w="2880"/>
            <w:tcMar>
              <w:top w:w="100" w:type="dxa"/>
              <w:bottom w:w="100" w:type="dxa"/>
              <w:left w:w="150" w:type="dxa"/>
              <w:right w:w="150" w:type="dxa"/>
            </w:tcMar>
          </w:tcPr>
          <w:p>
            <w:pPr>
              <w:jc w:val="left"/>
            </w:pPr>
            <w:r>
              <w:rPr>
                <w:rFonts w:ascii="Arial" w:hAnsi="Arial"/>
                <w:b/>
                <w:color w:val="333333"/>
                <w:sz w:val="19"/>
              </w:rPr>
              <w:t>Book Issue &amp; Return</w:t>
            </w:r>
          </w:p>
        </w:tc>
        <w:tc>
          <w:tcPr>
            <w:tcW w:type="dxa" w:w="2880"/>
            <w:tcMar>
              <w:top w:w="100" w:type="dxa"/>
              <w:bottom w:w="100" w:type="dxa"/>
              <w:left w:w="150" w:type="dxa"/>
              <w:right w:w="150" w:type="dxa"/>
            </w:tcMar>
          </w:tcPr>
          <w:p>
            <w:pPr>
              <w:jc w:val="left"/>
            </w:pPr>
            <w:r>
              <w:rPr>
                <w:rFonts w:ascii="Arial" w:hAnsi="Arial"/>
                <w:b w:val="0"/>
                <w:color w:val="333333"/>
                <w:sz w:val="19"/>
              </w:rPr>
              <w:t>Checkout transactions logger, due-date calculator, and dynanic fine accruals.</w:t>
            </w:r>
          </w:p>
        </w:tc>
      </w:tr>
      <w:tr>
        <w:tc>
          <w:tcPr>
            <w:tcW w:type="dxa" w:w="2880"/>
            <w:tcMar>
              <w:top w:w="100" w:type="dxa"/>
              <w:bottom w:w="100" w:type="dxa"/>
              <w:left w:w="150" w:type="dxa"/>
              <w:right w:w="150" w:type="dxa"/>
            </w:tcMar>
          </w:tcPr>
          <w:p>
            <w:pPr>
              <w:jc w:val="left"/>
            </w:pPr>
            <w:r>
              <w:rPr>
                <w:rFonts w:ascii="Courier New" w:hAnsi="Courier New"/>
                <w:b/>
                <w:color w:val="333333"/>
                <w:sz w:val="19"/>
              </w:rPr>
              <w:t>8.0</w:t>
            </w:r>
          </w:p>
        </w:tc>
        <w:tc>
          <w:tcPr>
            <w:tcW w:type="dxa" w:w="2880"/>
            <w:tcMar>
              <w:top w:w="100" w:type="dxa"/>
              <w:bottom w:w="100" w:type="dxa"/>
              <w:left w:w="150" w:type="dxa"/>
              <w:right w:w="150" w:type="dxa"/>
            </w:tcMar>
          </w:tcPr>
          <w:p>
            <w:pPr>
              <w:jc w:val="left"/>
            </w:pPr>
            <w:r>
              <w:rPr>
                <w:rFonts w:ascii="Arial" w:hAnsi="Arial"/>
                <w:b/>
                <w:color w:val="333333"/>
                <w:sz w:val="19"/>
              </w:rPr>
              <w:t>Reports &amp; Dashboard</w:t>
            </w:r>
          </w:p>
        </w:tc>
        <w:tc>
          <w:tcPr>
            <w:tcW w:type="dxa" w:w="2880"/>
            <w:tcMar>
              <w:top w:w="100" w:type="dxa"/>
              <w:bottom w:w="100" w:type="dxa"/>
              <w:left w:w="150" w:type="dxa"/>
              <w:right w:w="150" w:type="dxa"/>
            </w:tcMar>
          </w:tcPr>
          <w:p>
            <w:pPr>
              <w:jc w:val="left"/>
            </w:pPr>
            <w:r>
              <w:rPr>
                <w:rFonts w:ascii="Arial" w:hAnsi="Arial"/>
                <w:b w:val="0"/>
                <w:color w:val="333333"/>
                <w:sz w:val="19"/>
              </w:rPr>
              <w:t>Real-time counters widgets, overdue borrow lists, and stock audits tables.</w:t>
            </w:r>
          </w:p>
        </w:tc>
      </w:tr>
      <w:tr>
        <w:tc>
          <w:tcPr>
            <w:tcW w:type="dxa" w:w="2880"/>
            <w:tcMar>
              <w:top w:w="100" w:type="dxa"/>
              <w:bottom w:w="100" w:type="dxa"/>
              <w:left w:w="150" w:type="dxa"/>
              <w:right w:w="150" w:type="dxa"/>
            </w:tcMar>
          </w:tcPr>
          <w:p>
            <w:pPr>
              <w:jc w:val="left"/>
            </w:pPr>
            <w:r>
              <w:rPr>
                <w:rFonts w:ascii="Courier New" w:hAnsi="Courier New"/>
                <w:b/>
                <w:color w:val="333333"/>
                <w:sz w:val="19"/>
              </w:rPr>
              <w:t>9.0</w:t>
            </w:r>
          </w:p>
        </w:tc>
        <w:tc>
          <w:tcPr>
            <w:tcW w:type="dxa" w:w="2880"/>
            <w:tcMar>
              <w:top w:w="100" w:type="dxa"/>
              <w:bottom w:w="100" w:type="dxa"/>
              <w:left w:w="150" w:type="dxa"/>
              <w:right w:w="150" w:type="dxa"/>
            </w:tcMar>
          </w:tcPr>
          <w:p>
            <w:pPr>
              <w:jc w:val="left"/>
            </w:pPr>
            <w:r>
              <w:rPr>
                <w:rFonts w:ascii="Arial" w:hAnsi="Arial"/>
                <w:b/>
                <w:color w:val="333333"/>
                <w:sz w:val="19"/>
              </w:rPr>
              <w:t>Verification &amp; Testing</w:t>
            </w:r>
          </w:p>
        </w:tc>
        <w:tc>
          <w:tcPr>
            <w:tcW w:type="dxa" w:w="2880"/>
            <w:tcMar>
              <w:top w:w="100" w:type="dxa"/>
              <w:bottom w:w="100" w:type="dxa"/>
              <w:left w:w="150" w:type="dxa"/>
              <w:right w:w="150" w:type="dxa"/>
            </w:tcMar>
          </w:tcPr>
          <w:p>
            <w:pPr>
              <w:jc w:val="left"/>
            </w:pPr>
            <w:r>
              <w:rPr>
                <w:rFonts w:ascii="Arial" w:hAnsi="Arial"/>
                <w:b w:val="0"/>
                <w:color w:val="333333"/>
                <w:sz w:val="19"/>
              </w:rPr>
              <w:t>Unit test validations of fine calculation modules, end-to-end integration reviews.</w:t>
            </w:r>
          </w:p>
        </w:tc>
      </w:tr>
    </w:tbl>
    <w:p>
      <w:pPr>
        <w:pStyle w:val="Heading1"/>
        <w:spacing w:before="360" w:after="120"/>
      </w:pPr>
      <w:r>
        <w:rPr>
          <w:rFonts w:ascii="Arial" w:hAnsi="Arial"/>
          <w:b/>
          <w:color w:val="003366"/>
          <w:sz w:val="36"/>
        </w:rPr>
        <w:t>3. Codebase Directory Map</w:t>
      </w:r>
    </w:p>
    <w:p>
      <w:pPr>
        <w:spacing w:after="120" w:line="276" w:lineRule="auto"/>
      </w:pPr>
      <w:r>
        <w:rPr>
          <w:rFonts w:ascii="Arial" w:hAnsi="Arial"/>
          <w:i w:val="0"/>
          <w:color w:val="333333"/>
          <w:sz w:val="21"/>
        </w:rPr>
        <w:t>To establish a standardized development environment, the following project hierarchy is initialized:</w:t>
      </w:r>
    </w:p>
    <w:p>
      <w:pPr>
        <w:spacing w:after="120" w:line="276" w:lineRule="auto"/>
      </w:pPr>
      <w:r>
        <w:rPr>
          <w:rFonts w:ascii="Arial" w:hAnsi="Arial"/>
          <w:b/>
          <w:color w:val="333333"/>
          <w:sz w:val="21"/>
        </w:rPr>
        <w:t xml:space="preserve">•  docs/  -  </w:t>
      </w:r>
      <w:r>
        <w:rPr>
          <w:rFonts w:ascii="Arial" w:hAnsi="Arial"/>
          <w:i w:val="0"/>
          <w:color w:val="333333"/>
          <w:sz w:val="21"/>
        </w:rPr>
        <w:t>Contains all design and requirement documents (WBS, SRS, ERD).</w:t>
      </w:r>
    </w:p>
    <w:p>
      <w:pPr>
        <w:spacing w:after="120" w:line="276" w:lineRule="auto"/>
      </w:pPr>
      <w:r>
        <w:rPr>
          <w:rFonts w:ascii="Arial" w:hAnsi="Arial"/>
          <w:b/>
          <w:color w:val="333333"/>
          <w:sz w:val="21"/>
        </w:rPr>
        <w:t xml:space="preserve">•  src/assets/  -  </w:t>
      </w:r>
      <w:r>
        <w:rPr>
          <w:rFonts w:ascii="Arial" w:hAnsi="Arial"/>
          <w:i w:val="0"/>
          <w:color w:val="333333"/>
          <w:sz w:val="21"/>
        </w:rPr>
        <w:t>Static graphics, SVG icons, and library logo media assets.</w:t>
      </w:r>
    </w:p>
    <w:p>
      <w:pPr>
        <w:spacing w:after="120" w:line="276" w:lineRule="auto"/>
      </w:pPr>
      <w:r>
        <w:rPr>
          <w:rFonts w:ascii="Arial" w:hAnsi="Arial"/>
          <w:b/>
          <w:color w:val="333333"/>
          <w:sz w:val="21"/>
        </w:rPr>
        <w:t xml:space="preserve">•  src/components/  -  </w:t>
      </w:r>
      <w:r>
        <w:rPr>
          <w:rFonts w:ascii="Arial" w:hAnsi="Arial"/>
          <w:i w:val="0"/>
          <w:color w:val="333333"/>
          <w:sz w:val="21"/>
        </w:rPr>
        <w:t>Shared visual UI components (Navbar, Sidebar, MetricCard).</w:t>
      </w:r>
    </w:p>
    <w:p>
      <w:pPr>
        <w:spacing w:after="120" w:line="276" w:lineRule="auto"/>
      </w:pPr>
      <w:r>
        <w:rPr>
          <w:rFonts w:ascii="Arial" w:hAnsi="Arial"/>
          <w:b/>
          <w:color w:val="333333"/>
          <w:sz w:val="21"/>
        </w:rPr>
        <w:t xml:space="preserve">•  src/context/  -  </w:t>
      </w:r>
      <w:r>
        <w:rPr>
          <w:rFonts w:ascii="Arial" w:hAnsi="Arial"/>
          <w:i w:val="0"/>
          <w:color w:val="333333"/>
          <w:sz w:val="21"/>
        </w:rPr>
        <w:t>Global state providers (LibraryContext for transactions, AuthContext for sessions).</w:t>
      </w:r>
    </w:p>
    <w:p>
      <w:pPr>
        <w:spacing w:after="120" w:line="276" w:lineRule="auto"/>
      </w:pPr>
      <w:r>
        <w:rPr>
          <w:rFonts w:ascii="Arial" w:hAnsi="Arial"/>
          <w:b/>
          <w:color w:val="333333"/>
          <w:sz w:val="21"/>
        </w:rPr>
        <w:t xml:space="preserve">•  src/pages/  -  </w:t>
      </w:r>
      <w:r>
        <w:rPr>
          <w:rFonts w:ascii="Arial" w:hAnsi="Arial"/>
          <w:i w:val="0"/>
          <w:color w:val="333333"/>
          <w:sz w:val="21"/>
        </w:rPr>
        <w:t>Main application view controllers (Login, Dashboard, Books, Members, Issues).</w:t>
      </w:r>
    </w:p>
    <w:p>
      <w:pPr>
        <w:spacing w:after="120" w:line="276" w:lineRule="auto"/>
      </w:pPr>
      <w:r>
        <w:rPr>
          <w:rFonts w:ascii="Arial" w:hAnsi="Arial"/>
          <w:b/>
          <w:color w:val="333333"/>
          <w:sz w:val="21"/>
        </w:rPr>
        <w:t xml:space="preserve">•  src/services/  -  </w:t>
      </w:r>
      <w:r>
        <w:rPr>
          <w:rFonts w:ascii="Arial" w:hAnsi="Arial"/>
          <w:i w:val="0"/>
          <w:color w:val="333333"/>
          <w:sz w:val="21"/>
        </w:rPr>
        <w:t>Storage access layer (storage.ts) simulating SQL transactions on LocalStorage.</w:t>
      </w:r>
    </w:p>
    <w:p>
      <w:pPr>
        <w:spacing w:after="120" w:line="276" w:lineRule="auto"/>
      </w:pPr>
      <w:r>
        <w:rPr>
          <w:rFonts w:ascii="Arial" w:hAnsi="Arial"/>
          <w:b/>
          <w:color w:val="333333"/>
          <w:sz w:val="21"/>
        </w:rPr>
        <w:t xml:space="preserve">•  src/styles/  -  </w:t>
      </w:r>
      <w:r>
        <w:rPr>
          <w:rFonts w:ascii="Arial" w:hAnsi="Arial"/>
          <w:i w:val="0"/>
          <w:color w:val="333333"/>
          <w:sz w:val="21"/>
        </w:rPr>
        <w:t>Global CSS rules, custom CSS variables, and layout styles.</w:t>
      </w:r>
    </w:p>
    <w:p>
      <w:pPr>
        <w:spacing w:after="120" w:line="276" w:lineRule="auto"/>
      </w:pPr>
      <w:r>
        <w:rPr>
          <w:rFonts w:ascii="Arial" w:hAnsi="Arial"/>
          <w:b/>
          <w:color w:val="333333"/>
          <w:sz w:val="21"/>
        </w:rPr>
        <w:t xml:space="preserve">•  index.html / App.tsx  -  </w:t>
      </w:r>
      <w:r>
        <w:rPr>
          <w:rFonts w:ascii="Arial" w:hAnsi="Arial"/>
          <w:i w:val="0"/>
          <w:color w:val="333333"/>
          <w:sz w:val="21"/>
        </w:rPr>
        <w:t>Entry point documents and main app layout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