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B3664"/>
          <w:sz w:val="40"/>
          <w:szCs w:val="40"/>
        </w:rPr>
        <w:t xml:space="preserve">PRISM COMMERCE</w:t>
      </w:r>
    </w:p>
    <w:p>
      <w:pPr>
        <w:spacing w:after="60" w:before="0"/>
        <w:jc w:val="center"/>
      </w:pPr>
      <w:r>
        <w:rPr>
          <w:rFonts w:ascii="Arial" w:cs="Arial" w:eastAsia="Arial" w:hAnsi="Arial"/>
          <w:b/>
          <w:bCs/>
          <w:color w:val="1B3664"/>
          <w:sz w:val="30"/>
          <w:szCs w:val="30"/>
        </w:rPr>
        <w:t xml:space="preserve">MUTUAL NON-DISCLOSURE AGREEMENT</w:t>
      </w:r>
    </w:p>
    <w:p>
      <w:pPr>
        <w:spacing w:after="60" w:before="0"/>
        <w:jc w:val="center"/>
      </w:pPr>
      <w:r>
        <w:rPr>
          <w:rFonts w:ascii="Arial" w:cs="Arial" w:eastAsia="Arial" w:hAnsi="Arial"/>
          <w:i/>
          <w:iCs/>
          <w:color w:val="555555"/>
          <w:sz w:val="26"/>
          <w:szCs w:val="26"/>
        </w:rPr>
        <w:t xml:space="preserve">পারস্পরিক গোপনীয়তা চুক্তি</w:t>
      </w:r>
    </w:p>
    <w:p>
      <w:pPr>
        <w:spacing w:after="240" w:before="0"/>
        <w:jc w:val="center"/>
      </w:pPr>
      <w:r>
        <w:rPr>
          <w:rFonts w:ascii="Arial" w:cs="Arial" w:eastAsia="Arial" w:hAnsi="Arial"/>
          <w:i/>
          <w:iCs/>
          <w:color w:val="777777"/>
          <w:sz w:val="22"/>
          <w:szCs w:val="22"/>
        </w:rPr>
        <w:t xml:space="preserve">Protecting Confidential Business &amp; Technical Information — Both Ways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DDE5F0"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Mutual Non-Disclosure Agreement (NDA) — Version 2.0.0</w:t>
            </w:r>
          </w:p>
        </w:tc>
      </w:tr>
      <w:tr>
        <w:tc>
          <w:tcPr>
            <w:tcW w:type="dxa" w:w="2800"/>
            <w:tcBorders>
              <w:top w:val="single" w:color="CCCCCC" w:sz="4"/>
              <w:left w:val="single" w:color="CCCCCC" w:sz="4"/>
              <w:bottom w:val="single" w:color="CCCCCC" w:sz="4"/>
              <w:right w:val="single" w:color="CCCCCC" w:sz="4"/>
            </w:tcBorders>
            <w:shd w:fill="DDE5F0"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PRISM Commerce V4.0</w:t>
            </w:r>
          </w:p>
        </w:tc>
      </w:tr>
      <w:tr>
        <w:tc>
          <w:tcPr>
            <w:tcW w:type="dxa" w:w="2800"/>
            <w:tcBorders>
              <w:top w:val="single" w:color="CCCCCC" w:sz="4"/>
              <w:left w:val="single" w:color="CCCCCC" w:sz="4"/>
              <w:bottom w:val="single" w:color="CCCCCC" w:sz="4"/>
              <w:right w:val="single" w:color="CCCCCC" w:sz="4"/>
            </w:tcBorders>
            <w:shd w:fill="DDE5F0" w:val="clear"/>
            <w:tcMar>
              <w:top w:type="dxa" w:w="80"/>
              <w:left w:type="dxa" w:w="120"/>
              <w:bottom w:type="dxa" w:w="80"/>
              <w:right w:type="dxa" w:w="120"/>
            </w:tcMar>
          </w:tcPr>
          <w:p>
            <w:r>
              <w:rPr>
                <w:rFonts w:ascii="Arial" w:cs="Arial" w:eastAsia="Arial" w:hAnsi="Arial"/>
                <w:b/>
                <w:bCs/>
                <w:sz w:val="20"/>
                <w:szCs w:val="20"/>
              </w:rPr>
              <w:t xml:space="preserve">Disclosing Party</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Sagar Biswas (“Founder”)</w:t>
            </w:r>
          </w:p>
        </w:tc>
      </w:tr>
      <w:tr>
        <w:tc>
          <w:tcPr>
            <w:tcW w:type="dxa" w:w="2800"/>
            <w:tcBorders>
              <w:top w:val="single" w:color="CCCCCC" w:sz="4"/>
              <w:left w:val="single" w:color="CCCCCC" w:sz="4"/>
              <w:bottom w:val="single" w:color="CCCCCC" w:sz="4"/>
              <w:right w:val="single" w:color="CCCCCC" w:sz="4"/>
            </w:tcBorders>
            <w:shd w:fill="DDE5F0" w:val="clear"/>
            <w:tcMar>
              <w:top w:type="dxa" w:w="80"/>
              <w:left w:type="dxa" w:w="120"/>
              <w:bottom w:type="dxa" w:w="80"/>
              <w:right w:type="dxa" w:w="120"/>
            </w:tcMar>
          </w:tcPr>
          <w:p>
            <w:r>
              <w:rPr>
                <w:rFonts w:ascii="Arial" w:cs="Arial" w:eastAsia="Arial" w:hAnsi="Arial"/>
                <w:b/>
                <w:bCs/>
                <w:sz w:val="20"/>
                <w:szCs w:val="20"/>
              </w:rPr>
              <w:t xml:space="preserve">Receiving Party</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[Full Name] (“Recipient”) — fill before signing</w:t>
            </w:r>
          </w:p>
        </w:tc>
      </w:tr>
      <w:tr>
        <w:tc>
          <w:tcPr>
            <w:tcW w:type="dxa" w:w="2800"/>
            <w:tcBorders>
              <w:top w:val="single" w:color="CCCCCC" w:sz="4"/>
              <w:left w:val="single" w:color="CCCCCC" w:sz="4"/>
              <w:bottom w:val="single" w:color="CCCCCC" w:sz="4"/>
              <w:right w:val="single" w:color="CCCCCC" w:sz="4"/>
            </w:tcBorders>
            <w:shd w:fill="DDE5F0" w:val="clear"/>
            <w:tcMar>
              <w:top w:type="dxa" w:w="80"/>
              <w:left w:type="dxa" w:w="120"/>
              <w:bottom w:type="dxa" w:w="80"/>
              <w:right w:type="dxa" w:w="120"/>
            </w:tcMar>
          </w:tcPr>
          <w:p>
            <w:r>
              <w:rPr>
                <w:rFonts w:ascii="Arial" w:cs="Arial" w:eastAsia="Arial" w:hAnsi="Arial"/>
                <w:b/>
                <w:bCs/>
                <w:sz w:val="20"/>
                <w:szCs w:val="20"/>
              </w:rPr>
              <w:t xml:space="preserve">Recipient’s Role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[Prospective Founding Team Member / Evaluator] — fill before signing</w:t>
            </w:r>
          </w:p>
        </w:tc>
      </w:tr>
      <w:tr>
        <w:tc>
          <w:tcPr>
            <w:tcW w:type="dxa" w:w="2800"/>
            <w:tcBorders>
              <w:top w:val="single" w:color="CCCCCC" w:sz="4"/>
              <w:left w:val="single" w:color="CCCCCC" w:sz="4"/>
              <w:bottom w:val="single" w:color="CCCCCC" w:sz="4"/>
              <w:right w:val="single" w:color="CCCCCC" w:sz="4"/>
            </w:tcBorders>
            <w:shd w:fill="DDE5F0"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[DD/MM/YYYY] — fill before signing</w:t>
            </w:r>
          </w:p>
        </w:tc>
      </w:tr>
      <w:tr>
        <w:tc>
          <w:tcPr>
            <w:tcW w:type="dxa" w:w="2800"/>
            <w:tcBorders>
              <w:top w:val="single" w:color="CCCCCC" w:sz="4"/>
              <w:left w:val="single" w:color="CCCCCC" w:sz="4"/>
              <w:bottom w:val="single" w:color="CCCCCC" w:sz="4"/>
              <w:right w:val="single" w:color="CCCCCC" w:sz="4"/>
            </w:tcBorders>
            <w:shd w:fill="DDE5F0"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2 (Two) Years from Effective Date</w:t>
            </w:r>
          </w:p>
        </w:tc>
      </w:tr>
      <w:tr>
        <w:tc>
          <w:tcPr>
            <w:tcW w:type="dxa" w:w="2800"/>
            <w:tcBorders>
              <w:top w:val="single" w:color="CCCCCC" w:sz="4"/>
              <w:left w:val="single" w:color="CCCCCC" w:sz="4"/>
              <w:bottom w:val="single" w:color="CCCCCC" w:sz="4"/>
              <w:right w:val="single" w:color="CCCCCC" w:sz="4"/>
            </w:tcBorders>
            <w:shd w:fill="DDE5F0" w:val="clear"/>
            <w:tcMar>
              <w:top w:type="dxa" w:w="80"/>
              <w:left w:type="dxa" w:w="120"/>
              <w:bottom w:type="dxa" w:w="80"/>
              <w:right w:type="dxa" w:w="120"/>
            </w:tcMar>
          </w:tcPr>
          <w:p>
            <w:r>
              <w:rPr>
                <w:rFonts w:ascii="Arial" w:cs="Arial" w:eastAsia="Arial" w:hAnsi="Arial"/>
                <w:b/>
                <w:bCs/>
                <w:sz w:val="20"/>
                <w:szCs w:val="20"/>
              </w:rPr>
              <w:t xml:space="preserve">Survival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Confidentiality obligations survive for a further 2 years after expiry or termination</w:t>
            </w:r>
          </w:p>
        </w:tc>
      </w:tr>
      <w:tr>
        <w:tc>
          <w:tcPr>
            <w:tcW w:type="dxa" w:w="2800"/>
            <w:tcBorders>
              <w:top w:val="single" w:color="CCCCCC" w:sz="4"/>
              <w:left w:val="single" w:color="CCCCCC" w:sz="4"/>
              <w:bottom w:val="single" w:color="CCCCCC" w:sz="4"/>
              <w:right w:val="single" w:color="CCCCCC" w:sz="4"/>
            </w:tcBorders>
            <w:shd w:fill="DDE5F0" w:val="clear"/>
            <w:tcMar>
              <w:top w:type="dxa" w:w="80"/>
              <w:left w:type="dxa" w:w="120"/>
              <w:bottom w:type="dxa" w:w="80"/>
              <w:right w:type="dxa" w:w="120"/>
            </w:tcMar>
          </w:tcPr>
          <w:p>
            <w:r>
              <w:rPr>
                <w:rFonts w:ascii="Arial" w:cs="Arial" w:eastAsia="Arial" w:hAnsi="Arial"/>
                <w:b/>
                <w:bCs/>
                <w:sz w:val="20"/>
                <w:szCs w:val="20"/>
              </w:rPr>
              <w:t xml:space="preserve">Governing Law</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Laws of the People’s Republic of Bangladesh</w:t>
            </w:r>
          </w:p>
        </w:tc>
      </w:tr>
      <w:tr>
        <w:tc>
          <w:tcPr>
            <w:tcW w:type="dxa" w:w="2800"/>
            <w:tcBorders>
              <w:top w:val="single" w:color="CCCCCC" w:sz="4"/>
              <w:left w:val="single" w:color="CCCCCC" w:sz="4"/>
              <w:bottom w:val="single" w:color="CCCCCC" w:sz="4"/>
              <w:right w:val="single" w:color="CCCCCC" w:sz="4"/>
            </w:tcBorders>
            <w:shd w:fill="DDE5F0" w:val="clear"/>
            <w:tcMar>
              <w:top w:type="dxa" w:w="80"/>
              <w:left w:type="dxa" w:w="120"/>
              <w:bottom w:type="dxa" w:w="80"/>
              <w:right w:type="dxa" w:w="120"/>
            </w:tcMar>
          </w:tcPr>
          <w:p>
            <w:r>
              <w:rPr>
                <w:rFonts w:ascii="Arial" w:cs="Arial" w:eastAsia="Arial" w:hAnsi="Arial"/>
                <w:b/>
                <w:bCs/>
                <w:sz w:val="20"/>
                <w:szCs w:val="20"/>
              </w:rPr>
              <w:t xml:space="preserve">Related Document</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PRISM Commerce Equity Vesting Agreement v2.0.0 (to be executed concurrently)</w:t>
            </w:r>
          </w:p>
        </w:tc>
      </w:tr>
    </w:tbl>
    <w:p>
      <w:pPr>
        <w:spacing w:after="0" w:before="220"/>
      </w:pPr>
      <w:r>
        <w:t xml:space="preserve"/>
      </w:r>
    </w:p>
    <w:p>
      <w:pPr>
        <w:spacing w:after="80" w:before="320"/>
      </w:pPr>
      <w:r>
        <w:rPr>
          <w:rFonts w:ascii="Arial" w:cs="Arial" w:eastAsia="Arial" w:hAnsi="Arial"/>
          <w:b/>
          <w:bCs/>
          <w:color w:val="1B3664"/>
          <w:sz w:val="26"/>
          <w:szCs w:val="26"/>
        </w:rPr>
        <w:t xml:space="preserve">1.  Recitals  (প্রস্তাবনা)</w:t>
      </w:r>
    </w:p>
    <w:p>
      <w:pPr>
        <w:spacing w:after="80" w:before="100"/>
        <w:jc w:val="both"/>
      </w:pPr>
      <w:r>
        <w:rPr>
          <w:rFonts w:ascii="Arial" w:cs="Arial" w:eastAsia="Arial" w:hAnsi="Arial"/>
          <w:sz w:val="22"/>
          <w:szCs w:val="22"/>
        </w:rPr>
        <w:t xml:space="preserve">This Mutual Non-Disclosure Agreement (“Agreement”) is entered into as of the Effective Date stated above, between:</w:t>
      </w:r>
    </w:p>
    <w:p>
      <w:pPr>
        <w:pStyle w:val="ListParagraph"/>
        <w:numPr>
          <w:ilvl w:val="0"/>
          <w:numId w:val="2"/>
        </w:numPr>
        <w:spacing w:after="60" w:before="60"/>
        <w:jc w:val="both"/>
      </w:pPr>
      <w:r>
        <w:rPr>
          <w:rFonts w:ascii="Arial" w:cs="Arial" w:eastAsia="Arial" w:hAnsi="Arial"/>
          <w:sz w:val="22"/>
          <w:szCs w:val="22"/>
        </w:rPr>
        <w:t xml:space="preserve">Sagar Biswas, residing in Dhaka, Bangladesh (“Disclosing Party” / “Founder”), originator and lead developer of PRISM Commerce; and</w:t>
      </w:r>
    </w:p>
    <w:p>
      <w:pPr>
        <w:pStyle w:val="ListParagraph"/>
        <w:numPr>
          <w:ilvl w:val="0"/>
          <w:numId w:val="2"/>
        </w:numPr>
        <w:spacing w:after="60" w:before="60"/>
        <w:jc w:val="both"/>
      </w:pPr>
      <w:r>
        <w:rPr>
          <w:rFonts w:ascii="Arial" w:cs="Arial" w:eastAsia="Arial" w:hAnsi="Arial"/>
          <w:sz w:val="22"/>
          <w:szCs w:val="22"/>
        </w:rPr>
        <w:t xml:space="preserve">[Full Name of Recipient], a prospective founding team member or evaluator, residing at [Address], Bangladesh (“Receiving Party” / “Recipient”).</w:t>
      </w:r>
    </w:p>
    <w:p>
      <w:pPr>
        <w:spacing w:after="80" w:before="100"/>
        <w:jc w:val="both"/>
      </w:pPr>
      <w:r>
        <w:rPr>
          <w:rFonts w:ascii="Arial" w:cs="Arial" w:eastAsia="Arial" w:hAnsi="Arial"/>
          <w:sz w:val="22"/>
          <w:szCs w:val="22"/>
        </w:rPr>
        <w:t xml:space="preserve">The parties wish to disclose certain confidential and proprietary information to each other in connection with PRISM Commerce — a Bangla-native, AI-powered multi-vendor e-commerce platform — for the purpose of evaluating and/or establishing a collaborative founding relationship. Each party may act as a Disclosing Party or a Receiving Party at different times; this Agreement binds both parties symmetrically and is genuinely mutual.</w:t>
      </w:r>
    </w:p>
    <w:p>
      <w:pPr>
        <w:spacing w:after="60" w:before="160"/>
      </w:pPr>
      <w:r>
        <w:rPr>
          <w:rFonts w:ascii="Arial" w:cs="Arial" w:eastAsia="Arial" w:hAnsi="Arial"/>
          <w:b/>
          <w:bCs/>
          <w:sz w:val="22"/>
          <w:szCs w:val="22"/>
        </w:rPr>
        <w:t xml:space="preserve">1.1  Entity Status.</w:t>
      </w:r>
    </w:p>
    <w:p>
      <w:pPr>
        <w:spacing w:after="80" w:before="60"/>
        <w:jc w:val="both"/>
      </w:pPr>
      <w:r>
        <w:rPr>
          <w:rFonts w:ascii="Arial" w:cs="Arial" w:eastAsia="Arial" w:hAnsi="Arial"/>
          <w:sz w:val="22"/>
          <w:szCs w:val="22"/>
        </w:rPr>
        <w:t xml:space="preserve">PRISM Commerce is currently operating as an unregistered project entity. Upon formal incorporation (anticipated prior to or concurrent with Gate 2 as defined in the PRISM Commerce Equity Vesting Agreement v2.0.0), this Agreement shall attach to and bind the incorporated entity. The parties agree to execute any novation or assignment necessary at that time without further consideration. Nothing herein constitutes the parties as partners or creates a registered legal partnership.</w:t>
      </w:r>
    </w:p>
    <w:p>
      <w:pPr>
        <w:spacing w:after="60" w:before="160"/>
      </w:pPr>
      <w:r>
        <w:rPr>
          <w:rFonts w:ascii="Arial" w:cs="Arial" w:eastAsia="Arial" w:hAnsi="Arial"/>
          <w:b/>
          <w:bCs/>
          <w:sz w:val="22"/>
          <w:szCs w:val="22"/>
        </w:rPr>
        <w:t xml:space="preserve">1.2  Permitted Purpose.</w:t>
      </w:r>
    </w:p>
    <w:p>
      <w:pPr>
        <w:spacing w:after="80" w:before="60"/>
        <w:jc w:val="both"/>
      </w:pPr>
      <w:r>
        <w:rPr>
          <w:rFonts w:ascii="Arial" w:cs="Arial" w:eastAsia="Arial" w:hAnsi="Arial"/>
          <w:sz w:val="22"/>
          <w:szCs w:val="22"/>
        </w:rPr>
        <w:t xml:space="preserve">The “Permitted Purpose” of disclosure under this Agreement is: (a) for the Founder, operating and recruiting for PRISM Commerce; and (b) for the Recipient, evaluating whether to join the founding team and, if a member, contributing to PRISM Commerce. Use of Confidential Information for any purpose beyond the Permitted Purpose is strictly prohibited.</w:t>
      </w:r>
    </w:p>
    <w:p>
      <w:pPr>
        <w:pBdr>
          <w:left w:val="thick" w:color="A07820" w:sz="24"/>
        </w:pBdr>
        <w:spacing w:after="160" w:before="100"/>
        <w:ind w:left="400" w:right="400"/>
        <w:jc w:val="both"/>
      </w:pPr>
      <w:r>
        <w:rPr>
          <w:rFonts w:ascii="Arial" w:cs="Arial" w:eastAsia="Arial" w:hAnsi="Arial"/>
          <w:i/>
          <w:iCs/>
          <w:color w:val="555555"/>
          <w:sz w:val="20"/>
          <w:szCs w:val="20"/>
        </w:rPr>
        <w:t xml:space="preserve">এই চুক্তি Sagar Biswas (“প্রকাশকারী পক্ষ”) এবং [নাম] (“গ্রহণকারী পক্ষ”)-এর মধ্যে পারস্পরিকভাবে সম্পাদিত হচ্ছে। PRISM Commerce-সম্পর্কিত গোপনীয় তথ্য উভয় পক্ষের জন্য সুরক্ষিত রাখার উদ্দেশ্যে এই চুক্তি করা হচ্ছে। PRISM Commerce বর্তমানে একটি অনিবন্ধিত প্রজেক্ট এবং ভবিষ্যতে নিবন্ধিত হলে এই চুক্তি সেই সত্তার সাথে যুক্ত হবে।</w:t>
      </w:r>
    </w:p>
    <w:p>
      <w:pPr>
        <w:spacing w:after="0" w:before="80"/>
      </w:pPr>
      <w:r>
        <w:t xml:space="preserve"/>
      </w:r>
    </w:p>
    <w:p>
      <w:pPr>
        <w:spacing w:after="80" w:before="320"/>
      </w:pPr>
      <w:r>
        <w:rPr>
          <w:rFonts w:ascii="Arial" w:cs="Arial" w:eastAsia="Arial" w:hAnsi="Arial"/>
          <w:b/>
          <w:bCs/>
          <w:color w:val="1B3664"/>
          <w:sz w:val="26"/>
          <w:szCs w:val="26"/>
        </w:rPr>
        <w:t xml:space="preserve">2.  Definition of Confidential Information  (গোপনীয় তথ্যের সংজ্ঞা)</w:t>
      </w:r>
    </w:p>
    <w:p>
      <w:pPr>
        <w:spacing w:after="80" w:before="80"/>
        <w:jc w:val="both"/>
      </w:pPr>
      <w:r>
        <w:rPr>
          <w:rFonts w:ascii="Arial" w:cs="Arial" w:eastAsia="Arial" w:hAnsi="Arial"/>
          <w:sz w:val="22"/>
          <w:szCs w:val="22"/>
        </w:rPr>
        <w:t xml:space="preserve">“Confidential Information” means any and all information disclosed by one party (as Disclosing Party) to the other (as Receiving Party), whether orally, in writing, digitally, or by any other means, that is designated as confidential or that reasonably should be understood to be confidential given the nature of the information and the circumstances of disclosure. Confidential Information includes, without limitation:</w:t>
      </w:r>
    </w:p>
    <w:p>
      <w:pPr>
        <w:pStyle w:val="ListParagraph"/>
        <w:numPr>
          <w:ilvl w:val="0"/>
          <w:numId w:val="2"/>
        </w:numPr>
        <w:spacing w:after="60" w:before="60"/>
        <w:jc w:val="both"/>
      </w:pPr>
      <w:r>
        <w:rPr>
          <w:rFonts w:ascii="Arial" w:cs="Arial" w:eastAsia="Arial" w:hAnsi="Arial"/>
          <w:sz w:val="22"/>
          <w:szCs w:val="22"/>
        </w:rPr>
        <w:t xml:space="preserve">Technical architecture, system design, database schemas, API designs, and source code of PRISM Commerce.</w:t>
      </w:r>
    </w:p>
    <w:p>
      <w:pPr>
        <w:pStyle w:val="ListParagraph"/>
        <w:numPr>
          <w:ilvl w:val="0"/>
          <w:numId w:val="2"/>
        </w:numPr>
        <w:spacing w:after="60" w:before="60"/>
        <w:jc w:val="both"/>
      </w:pPr>
      <w:r>
        <w:rPr>
          <w:rFonts w:ascii="Arial" w:cs="Arial" w:eastAsia="Arial" w:hAnsi="Arial"/>
          <w:sz w:val="22"/>
          <w:szCs w:val="22"/>
        </w:rPr>
        <w:t xml:space="preserve">All 15 AI/ML module specifications, including the GBR ONNX demand forecasting model, Sahayak agentic GenAI assistant (V1 and V2), RAG pipeline, Opportunity Engine, and Bundle Recommendation Engine.</w:t>
      </w:r>
    </w:p>
    <w:p>
      <w:pPr>
        <w:pStyle w:val="ListParagraph"/>
        <w:numPr>
          <w:ilvl w:val="0"/>
          <w:numId w:val="2"/>
        </w:numPr>
        <w:spacing w:after="60" w:before="60"/>
        <w:jc w:val="both"/>
      </w:pPr>
      <w:r>
        <w:rPr>
          <w:rFonts w:ascii="Arial" w:cs="Arial" w:eastAsia="Arial" w:hAnsi="Arial"/>
          <w:sz w:val="22"/>
          <w:szCs w:val="22"/>
        </w:rPr>
        <w:t xml:space="preserve">Business model, revenue projections, pricing strategy, unit economics, and financial data.</w:t>
      </w:r>
    </w:p>
    <w:p>
      <w:pPr>
        <w:pStyle w:val="ListParagraph"/>
        <w:numPr>
          <w:ilvl w:val="0"/>
          <w:numId w:val="2"/>
        </w:numPr>
        <w:spacing w:after="60" w:before="60"/>
        <w:jc w:val="both"/>
      </w:pPr>
      <w:r>
        <w:rPr>
          <w:rFonts w:ascii="Arial" w:cs="Arial" w:eastAsia="Arial" w:hAnsi="Arial"/>
          <w:sz w:val="22"/>
          <w:szCs w:val="22"/>
        </w:rPr>
        <w:t xml:space="preserve">The 15-month development roadmap, phase plans, sprint strategies, and milestone gates.</w:t>
      </w:r>
    </w:p>
    <w:p>
      <w:pPr>
        <w:pStyle w:val="ListParagraph"/>
        <w:numPr>
          <w:ilvl w:val="0"/>
          <w:numId w:val="2"/>
        </w:numPr>
        <w:spacing w:after="60" w:before="60"/>
        <w:jc w:val="both"/>
      </w:pPr>
      <w:r>
        <w:rPr>
          <w:rFonts w:ascii="Arial" w:cs="Arial" w:eastAsia="Arial" w:hAnsi="Arial"/>
          <w:sz w:val="22"/>
          <w:szCs w:val="22"/>
        </w:rPr>
        <w:t xml:space="preserve">Market analysis, competitive intelligence, and go-to-market strategy.</w:t>
      </w:r>
    </w:p>
    <w:p>
      <w:pPr>
        <w:pStyle w:val="ListParagraph"/>
        <w:numPr>
          <w:ilvl w:val="0"/>
          <w:numId w:val="2"/>
        </w:numPr>
        <w:spacing w:after="60" w:before="60"/>
        <w:jc w:val="both"/>
      </w:pPr>
      <w:r>
        <w:rPr>
          <w:rFonts w:ascii="Arial" w:cs="Arial" w:eastAsia="Arial" w:hAnsi="Arial"/>
          <w:sz w:val="22"/>
          <w:szCs w:val="22"/>
        </w:rPr>
        <w:t xml:space="preserve">Vendor acquisition strategy, partnership details, and customer lists.</w:t>
      </w:r>
    </w:p>
    <w:p>
      <w:pPr>
        <w:pStyle w:val="ListParagraph"/>
        <w:numPr>
          <w:ilvl w:val="0"/>
          <w:numId w:val="2"/>
        </w:numPr>
        <w:spacing w:after="60" w:before="60"/>
        <w:jc w:val="both"/>
      </w:pPr>
      <w:r>
        <w:rPr>
          <w:rFonts w:ascii="Arial" w:cs="Arial" w:eastAsia="Arial" w:hAnsi="Arial"/>
          <w:sz w:val="22"/>
          <w:szCs w:val="22"/>
        </w:rPr>
        <w:t xml:space="preserve">Equity structure, team composition, and the terms of any Founders’ Agreement or Vesting Agreement.</w:t>
      </w:r>
    </w:p>
    <w:p>
      <w:pPr>
        <w:pStyle w:val="ListParagraph"/>
        <w:numPr>
          <w:ilvl w:val="0"/>
          <w:numId w:val="2"/>
        </w:numPr>
        <w:spacing w:after="60" w:before="60"/>
        <w:jc w:val="both"/>
      </w:pPr>
      <w:r>
        <w:rPr>
          <w:rFonts w:ascii="Arial" w:cs="Arial" w:eastAsia="Arial" w:hAnsi="Arial"/>
          <w:sz w:val="22"/>
          <w:szCs w:val="22"/>
        </w:rPr>
        <w:t xml:space="preserve">Any documents, presentations, code repositories, design files, or communications shared in connection with this Agreement.</w:t>
      </w:r>
    </w:p>
    <w:p>
      <w:pPr>
        <w:pStyle w:val="ListParagraph"/>
        <w:numPr>
          <w:ilvl w:val="0"/>
          <w:numId w:val="2"/>
        </w:numPr>
        <w:spacing w:after="60" w:before="60"/>
        <w:jc w:val="both"/>
      </w:pPr>
      <w:r>
        <w:rPr>
          <w:rFonts w:ascii="Arial" w:cs="Arial" w:eastAsia="Arial" w:hAnsi="Arial"/>
          <w:sz w:val="22"/>
          <w:szCs w:val="22"/>
        </w:rPr>
        <w:t xml:space="preserve">Personal or professional information disclosed by the Recipient to the Founder in the course of evaluating or participating in PRISM Commerce.</w:t>
      </w:r>
    </w:p>
    <w:p>
      <w:pPr>
        <w:spacing w:after="60" w:before="100"/>
        <w:jc w:val="both"/>
      </w:pPr>
      <w:r>
        <w:rPr>
          <w:rFonts w:ascii="Arial" w:cs="Arial" w:eastAsia="Arial" w:hAnsi="Arial"/>
          <w:sz w:val="22"/>
          <w:szCs w:val="22"/>
        </w:rPr>
        <w:t xml:space="preserve">Confidential Information does NOT include information that:</w:t>
      </w:r>
    </w:p>
    <w:p>
      <w:pPr>
        <w:spacing w:after="60" w:before="60"/>
        <w:ind w:left="720" w:hanging="360"/>
        <w:jc w:val="both"/>
      </w:pPr>
      <w:r>
        <w:rPr>
          <w:rFonts w:ascii="Arial" w:cs="Arial" w:eastAsia="Arial" w:hAnsi="Arial"/>
          <w:b/>
          <w:bCs/>
          <w:sz w:val="22"/>
          <w:szCs w:val="22"/>
        </w:rPr>
        <w:t xml:space="preserve">(a)  </w:t>
      </w:r>
      <w:r>
        <w:rPr>
          <w:rFonts w:ascii="Arial" w:cs="Arial" w:eastAsia="Arial" w:hAnsi="Arial"/>
          <w:sz w:val="22"/>
          <w:szCs w:val="22"/>
        </w:rPr>
        <w:t xml:space="preserve">is or becomes publicly available through no breach of this Agreement by the Receiving Party;</w:t>
      </w:r>
    </w:p>
    <w:p>
      <w:pPr>
        <w:spacing w:after="60" w:before="60"/>
        <w:ind w:left="720" w:hanging="360"/>
        <w:jc w:val="both"/>
      </w:pPr>
      <w:r>
        <w:rPr>
          <w:rFonts w:ascii="Arial" w:cs="Arial" w:eastAsia="Arial" w:hAnsi="Arial"/>
          <w:b/>
          <w:bCs/>
          <w:sz w:val="22"/>
          <w:szCs w:val="22"/>
        </w:rPr>
        <w:t xml:space="preserve">(b)  </w:t>
      </w:r>
      <w:r>
        <w:rPr>
          <w:rFonts w:ascii="Arial" w:cs="Arial" w:eastAsia="Arial" w:hAnsi="Arial"/>
          <w:sz w:val="22"/>
          <w:szCs w:val="22"/>
        </w:rPr>
        <w:t xml:space="preserve">was rightfully known to the Receiving Party before disclosure, as evidenced by written records predating such disclosure;</w:t>
      </w:r>
    </w:p>
    <w:p>
      <w:pPr>
        <w:spacing w:after="60" w:before="60"/>
        <w:ind w:left="720" w:hanging="360"/>
        <w:jc w:val="both"/>
      </w:pPr>
      <w:r>
        <w:rPr>
          <w:rFonts w:ascii="Arial" w:cs="Arial" w:eastAsia="Arial" w:hAnsi="Arial"/>
          <w:b/>
          <w:bCs/>
          <w:sz w:val="22"/>
          <w:szCs w:val="22"/>
        </w:rPr>
        <w:t xml:space="preserve">(c)  </w:t>
      </w:r>
      <w:r>
        <w:rPr>
          <w:rFonts w:ascii="Arial" w:cs="Arial" w:eastAsia="Arial" w:hAnsi="Arial"/>
          <w:sz w:val="22"/>
          <w:szCs w:val="22"/>
        </w:rPr>
        <w:t xml:space="preserve">is independently developed by the Receiving Party without use of or reference to any Confidential Information; or</w:t>
      </w:r>
    </w:p>
    <w:p>
      <w:pPr>
        <w:spacing w:after="60" w:before="60"/>
        <w:ind w:left="720" w:hanging="360"/>
        <w:jc w:val="both"/>
      </w:pPr>
      <w:r>
        <w:rPr>
          <w:rFonts w:ascii="Arial" w:cs="Arial" w:eastAsia="Arial" w:hAnsi="Arial"/>
          <w:b/>
          <w:bCs/>
          <w:sz w:val="22"/>
          <w:szCs w:val="22"/>
        </w:rPr>
        <w:t xml:space="preserve">(d)  </w:t>
      </w:r>
      <w:r>
        <w:rPr>
          <w:rFonts w:ascii="Arial" w:cs="Arial" w:eastAsia="Arial" w:hAnsi="Arial"/>
          <w:sz w:val="22"/>
          <w:szCs w:val="22"/>
        </w:rPr>
        <w:t xml:space="preserve">is required to be disclosed by applicable law, regulation, or binding court order, provided that the Receiving Party gives the Disclosing Party prompt prior written notice (where legally permissible) and cooperates reasonably to enable the Disclosing Party to seek a protective order or other appropriate relief before disclosure is made.</w:t>
      </w:r>
    </w:p>
    <w:p>
      <w:pPr>
        <w:pBdr>
          <w:left w:val="thick" w:color="A07820" w:sz="24"/>
        </w:pBdr>
        <w:spacing w:after="160" w:before="100"/>
        <w:ind w:left="400" w:right="400"/>
        <w:jc w:val="both"/>
      </w:pPr>
      <w:r>
        <w:rPr>
          <w:rFonts w:ascii="Arial" w:cs="Arial" w:eastAsia="Arial" w:hAnsi="Arial"/>
          <w:i/>
          <w:iCs/>
          <w:color w:val="555555"/>
          <w:sz w:val="20"/>
          <w:szCs w:val="20"/>
        </w:rPr>
        <w:t xml:space="preserve">গোপনীয় তথ্যের মধ্যে রয়েছে: PRISM Commerce-এর technical architecture, AI modules, business model, financial data, roadmap, team composition, equity structure, এবং Recipient-এর ব্যক্তিগত তথ্যও সুরক্ষিত। যে তথ্য সর্বজনীনভাবে পাওয়া যায় বা স্বাধীনভাবে তৈরি হয়েছে, তা গোপনীয় নয়।</w:t>
      </w:r>
    </w:p>
    <w:p>
      <w:pPr>
        <w:spacing w:after="0" w:before="80"/>
      </w:pPr>
      <w:r>
        <w:t xml:space="preserve"/>
      </w:r>
    </w:p>
    <w:p>
      <w:pPr>
        <w:spacing w:after="80" w:before="320"/>
      </w:pPr>
      <w:r>
        <w:rPr>
          <w:rFonts w:ascii="Arial" w:cs="Arial" w:eastAsia="Arial" w:hAnsi="Arial"/>
          <w:b/>
          <w:bCs/>
          <w:color w:val="1B3664"/>
          <w:sz w:val="26"/>
          <w:szCs w:val="26"/>
        </w:rPr>
        <w:t xml:space="preserve">3.  Mutual Obligations of Both Parties  (উভয় পক্ষের দায়িত্ব)</w:t>
      </w:r>
    </w:p>
    <w:p>
      <w:pPr>
        <w:spacing w:after="80" w:before="80"/>
        <w:jc w:val="both"/>
      </w:pPr>
      <w:r>
        <w:rPr>
          <w:rFonts w:ascii="Arial" w:cs="Arial" w:eastAsia="Arial" w:hAnsi="Arial"/>
          <w:sz w:val="22"/>
          <w:szCs w:val="22"/>
        </w:rPr>
        <w:t xml:space="preserve">Each party, in its capacity as Receiving Party upon receipt of Confidential Information from the other party, agrees to:</w:t>
      </w:r>
    </w:p>
    <w:p>
      <w:pPr>
        <w:spacing w:after="60" w:before="60"/>
        <w:ind w:left="720" w:hanging="360"/>
        <w:jc w:val="both"/>
      </w:pPr>
      <w:r>
        <w:rPr>
          <w:rFonts w:ascii="Arial" w:cs="Arial" w:eastAsia="Arial" w:hAnsi="Arial"/>
          <w:b/>
          <w:bCs/>
          <w:sz w:val="22"/>
          <w:szCs w:val="22"/>
        </w:rPr>
        <w:t xml:space="preserve">(1)  </w:t>
      </w:r>
      <w:r>
        <w:rPr>
          <w:rFonts w:ascii="Arial" w:cs="Arial" w:eastAsia="Arial" w:hAnsi="Arial"/>
          <w:sz w:val="22"/>
          <w:szCs w:val="22"/>
        </w:rPr>
        <w:t xml:space="preserve">Hold all Confidential Information in strict confidence, using at minimum the same degree of care it uses to protect its own confidential information of comparable sensitivity, and in no event less than a reasonable standard of care, and not disclose it to any third party without the prior written consent of the Disclosing Party.</w:t>
      </w:r>
    </w:p>
    <w:p>
      <w:pPr>
        <w:spacing w:after="60" w:before="60"/>
        <w:ind w:left="720" w:hanging="360"/>
        <w:jc w:val="both"/>
      </w:pPr>
      <w:r>
        <w:rPr>
          <w:rFonts w:ascii="Arial" w:cs="Arial" w:eastAsia="Arial" w:hAnsi="Arial"/>
          <w:b/>
          <w:bCs/>
          <w:sz w:val="22"/>
          <w:szCs w:val="22"/>
        </w:rPr>
        <w:t xml:space="preserve">(2)  </w:t>
      </w:r>
      <w:r>
        <w:rPr>
          <w:rFonts w:ascii="Arial" w:cs="Arial" w:eastAsia="Arial" w:hAnsi="Arial"/>
          <w:sz w:val="22"/>
          <w:szCs w:val="22"/>
        </w:rPr>
        <w:t xml:space="preserve">Use the Confidential Information solely for the Permitted Purpose defined in Section 1.2, and for no other purpose whatsoever.</w:t>
      </w:r>
    </w:p>
    <w:p>
      <w:pPr>
        <w:spacing w:after="60" w:before="60"/>
        <w:ind w:left="720" w:hanging="360"/>
        <w:jc w:val="both"/>
      </w:pPr>
      <w:r>
        <w:rPr>
          <w:rFonts w:ascii="Arial" w:cs="Arial" w:eastAsia="Arial" w:hAnsi="Arial"/>
          <w:b/>
          <w:bCs/>
          <w:sz w:val="22"/>
          <w:szCs w:val="22"/>
        </w:rPr>
        <w:t xml:space="preserve">(3)  </w:t>
      </w:r>
      <w:r>
        <w:rPr>
          <w:rFonts w:ascii="Arial" w:cs="Arial" w:eastAsia="Arial" w:hAnsi="Arial"/>
          <w:sz w:val="22"/>
          <w:szCs w:val="22"/>
        </w:rPr>
        <w:t xml:space="preserve">Not copy, reproduce, or store Confidential Information in any form beyond what is strictly necessary for the Permitted Purpose.</w:t>
      </w:r>
    </w:p>
    <w:p>
      <w:pPr>
        <w:spacing w:after="60" w:before="60"/>
        <w:ind w:left="720" w:hanging="360"/>
        <w:jc w:val="both"/>
      </w:pPr>
      <w:r>
        <w:rPr>
          <w:rFonts w:ascii="Arial" w:cs="Arial" w:eastAsia="Arial" w:hAnsi="Arial"/>
          <w:b/>
          <w:bCs/>
          <w:sz w:val="22"/>
          <w:szCs w:val="22"/>
        </w:rPr>
        <w:t xml:space="preserve">(4)  </w:t>
      </w:r>
      <w:r>
        <w:rPr>
          <w:rFonts w:ascii="Arial" w:cs="Arial" w:eastAsia="Arial" w:hAnsi="Arial"/>
          <w:sz w:val="22"/>
          <w:szCs w:val="22"/>
        </w:rPr>
        <w:t xml:space="preserve">Immediately notify the Disclosing Party in writing upon becoming aware of any unauthorised use, disclosure, loss, or breach of this Agreement, and cooperate fully in mitigating any resulting harm.</w:t>
      </w:r>
    </w:p>
    <w:p>
      <w:pPr>
        <w:spacing w:after="60" w:before="60"/>
        <w:ind w:left="720" w:hanging="360"/>
        <w:jc w:val="both"/>
      </w:pPr>
      <w:r>
        <w:rPr>
          <w:rFonts w:ascii="Arial" w:cs="Arial" w:eastAsia="Arial" w:hAnsi="Arial"/>
          <w:b/>
          <w:bCs/>
          <w:sz w:val="22"/>
          <w:szCs w:val="22"/>
        </w:rPr>
        <w:t xml:space="preserve">(5)  </w:t>
      </w:r>
      <w:r>
        <w:rPr>
          <w:rFonts w:ascii="Arial" w:cs="Arial" w:eastAsia="Arial" w:hAnsi="Arial"/>
          <w:sz w:val="22"/>
          <w:szCs w:val="22"/>
        </w:rPr>
        <w:t xml:space="preserve">Upon written request by the Disclosing Party, or upon expiry or termination of this Agreement or the conclusion of discussions, return or securely destroy all Confidential Information and any copies, summaries, or extracts thereof within seven (7) days of such request or conclusion, and certify in writing that such return or destruction has been completed.</w:t>
      </w:r>
    </w:p>
    <w:p>
      <w:pPr>
        <w:spacing w:after="60" w:before="60"/>
        <w:ind w:left="720" w:hanging="360"/>
        <w:jc w:val="both"/>
      </w:pPr>
      <w:r>
        <w:rPr>
          <w:rFonts w:ascii="Arial" w:cs="Arial" w:eastAsia="Arial" w:hAnsi="Arial"/>
          <w:b/>
          <w:bCs/>
          <w:sz w:val="22"/>
          <w:szCs w:val="22"/>
        </w:rPr>
        <w:t xml:space="preserve">(6)  </w:t>
      </w:r>
      <w:r>
        <w:rPr>
          <w:rFonts w:ascii="Arial" w:cs="Arial" w:eastAsia="Arial" w:hAnsi="Arial"/>
          <w:sz w:val="22"/>
          <w:szCs w:val="22"/>
        </w:rPr>
        <w:t xml:space="preserve">Ensure that any person granted access to Confidential Information for the Permitted Purpose (including advisers or mentors) is bound by confidentiality obligations no less restrictive than those in this Agreement, and accept responsibility for any breach by such persons.</w:t>
      </w:r>
    </w:p>
    <w:p>
      <w:pPr>
        <w:spacing w:after="60" w:before="160"/>
      </w:pPr>
      <w:r>
        <w:rPr>
          <w:rFonts w:ascii="Arial" w:cs="Arial" w:eastAsia="Arial" w:hAnsi="Arial"/>
          <w:b/>
          <w:bCs/>
          <w:sz w:val="22"/>
          <w:szCs w:val="22"/>
        </w:rPr>
        <w:t xml:space="preserve">3.1  Residual Knowledge.</w:t>
      </w:r>
    </w:p>
    <w:p>
      <w:pPr>
        <w:spacing w:after="80" w:before="60"/>
        <w:jc w:val="both"/>
      </w:pPr>
      <w:r>
        <w:rPr>
          <w:rFonts w:ascii="Arial" w:cs="Arial" w:eastAsia="Arial" w:hAnsi="Arial"/>
          <w:sz w:val="22"/>
          <w:szCs w:val="22"/>
        </w:rPr>
        <w:t xml:space="preserve">Nothing in this Agreement shall restrict either party from using Residual Knowledge in any manner. “Residual Knowledge” means general ideas, concepts, know-how, principles, or techniques retained in the unaided memory of a party’s personnel after working with Confidential Information, without deliberate memorisation or use of any written, electronic, or other record of Confidential Information. This clause does not grant any licence to any patent, trade secret, or copyright of the Disclosing Party.</w:t>
      </w:r>
    </w:p>
    <w:p>
      <w:pPr>
        <w:spacing w:after="60" w:before="160"/>
      </w:pPr>
      <w:r>
        <w:rPr>
          <w:rFonts w:ascii="Arial" w:cs="Arial" w:eastAsia="Arial" w:hAnsi="Arial"/>
          <w:b/>
          <w:bCs/>
          <w:sz w:val="22"/>
          <w:szCs w:val="22"/>
        </w:rPr>
        <w:t xml:space="preserve">3.2  Standard of Care.</w:t>
      </w:r>
    </w:p>
    <w:p>
      <w:pPr>
        <w:spacing w:after="80" w:before="60"/>
        <w:jc w:val="both"/>
      </w:pPr>
      <w:r>
        <w:rPr>
          <w:rFonts w:ascii="Arial" w:cs="Arial" w:eastAsia="Arial" w:hAnsi="Arial"/>
          <w:sz w:val="22"/>
          <w:szCs w:val="22"/>
        </w:rPr>
        <w:t xml:space="preserve">Each party warrants that it will apply reasonable security practices to safeguard Confidential Information, including password-protecting digital materials and restricting physical access on a strict need-to-know basis.</w:t>
      </w:r>
    </w:p>
    <w:p>
      <w:pPr>
        <w:pBdr>
          <w:left w:val="thick" w:color="A07820" w:sz="24"/>
        </w:pBdr>
        <w:spacing w:after="160" w:before="100"/>
        <w:ind w:left="400" w:right="400"/>
        <w:jc w:val="both"/>
      </w:pPr>
      <w:r>
        <w:rPr>
          <w:rFonts w:ascii="Arial" w:cs="Arial" w:eastAsia="Arial" w:hAnsi="Arial"/>
          <w:i/>
          <w:iCs/>
          <w:color w:val="555555"/>
          <w:sz w:val="20"/>
          <w:szCs w:val="20"/>
        </w:rPr>
        <w:t xml:space="preserve">এই চুক্তিতে উভয় পক্ষ পারস্পরিকভাবে একে অপরের গোপনীয় তথ্য সুরক্ষার দায়িত্ব নিচ্ছেন। প্রাপ্ত তথ্য তৃতীয় পক্ষকে দেওয়া যাবে না এবং শুধুমাত্র Permitted Purpose-এ ব্যবহার করতে হবে। চুক্তি শেষে বা অনুরোধে সমস্ত তথ্য ৭ দিনের মধ্যে ফেরত দিতে বা নষ্ট করতে হবে। স্মৃতিতে ধারণ করা সাধারণ জ্ঞান (Residual Knowledge) ব্যবহারে কোনো বাধা নেই।</w:t>
      </w:r>
    </w:p>
    <w:p>
      <w:pPr>
        <w:spacing w:after="0" w:before="80"/>
      </w:pPr>
      <w:r>
        <w:t xml:space="preserve"/>
      </w:r>
    </w:p>
    <w:p>
      <w:pPr>
        <w:spacing w:after="80" w:before="320"/>
      </w:pPr>
      <w:r>
        <w:rPr>
          <w:rFonts w:ascii="Arial" w:cs="Arial" w:eastAsia="Arial" w:hAnsi="Arial"/>
          <w:b/>
          <w:bCs/>
          <w:color w:val="1B3664"/>
          <w:sz w:val="26"/>
          <w:szCs w:val="26"/>
        </w:rPr>
        <w:t xml:space="preserve">4.  Non-Compete &amp; Non-Solicitation  (প্রতিযোগিতা নিষেধাজ্ঞা)</w:t>
      </w:r>
    </w:p>
    <w:p>
      <w:pPr>
        <w:spacing w:after="60" w:before="160"/>
      </w:pPr>
      <w:r>
        <w:rPr>
          <w:rFonts w:ascii="Arial" w:cs="Arial" w:eastAsia="Arial" w:hAnsi="Arial"/>
          <w:b/>
          <w:bCs/>
          <w:sz w:val="22"/>
          <w:szCs w:val="22"/>
        </w:rPr>
        <w:t xml:space="preserve">4.1  Limited Non-Compete.</w:t>
      </w:r>
    </w:p>
    <w:p>
      <w:pPr>
        <w:spacing w:after="80" w:before="60"/>
        <w:jc w:val="both"/>
      </w:pPr>
      <w:r>
        <w:rPr>
          <w:rFonts w:ascii="Arial" w:cs="Arial" w:eastAsia="Arial" w:hAnsi="Arial"/>
          <w:sz w:val="22"/>
          <w:szCs w:val="22"/>
        </w:rPr>
        <w:t xml:space="preserve">For a period of twelve (12) months following the conclusion of discussions between the parties or the termination of the Recipient’s membership in PRISM Commerce (whichever is later), the Recipient shall not directly develop, co-found, or provide material technical or business services to a “Competing Platform,” defined as a Bangla-native, AI-powered, multi-vendor e-commerce or inventory management platform operating primarily in the Bangladesh market, where the Recipient would be using Confidential Information, technical architecture knowledge, or proprietary AI methodology acquired under this Agreement.</w:t>
      </w:r>
    </w:p>
    <w:p>
      <w:pPr>
        <w:spacing w:after="60" w:before="160"/>
      </w:pPr>
      <w:r>
        <w:rPr>
          <w:rFonts w:ascii="Arial" w:cs="Arial" w:eastAsia="Arial" w:hAnsi="Arial"/>
          <w:b/>
          <w:bCs/>
          <w:sz w:val="22"/>
          <w:szCs w:val="22"/>
        </w:rPr>
        <w:t xml:space="preserve">4.2  Non-Solicitation.</w:t>
      </w:r>
    </w:p>
    <w:p>
      <w:pPr>
        <w:spacing w:after="80" w:before="60"/>
        <w:jc w:val="both"/>
      </w:pPr>
      <w:r>
        <w:rPr>
          <w:rFonts w:ascii="Arial" w:cs="Arial" w:eastAsia="Arial" w:hAnsi="Arial"/>
          <w:sz w:val="22"/>
          <w:szCs w:val="22"/>
        </w:rPr>
        <w:t xml:space="preserve">During the term of this Agreement and for twelve (12) months following its expiry or termination, the Recipient shall not:</w:t>
      </w:r>
    </w:p>
    <w:p>
      <w:pPr>
        <w:spacing w:after="60" w:before="60"/>
        <w:ind w:left="720" w:hanging="360"/>
        <w:jc w:val="both"/>
      </w:pPr>
      <w:r>
        <w:rPr>
          <w:rFonts w:ascii="Arial" w:cs="Arial" w:eastAsia="Arial" w:hAnsi="Arial"/>
          <w:b/>
          <w:bCs/>
          <w:sz w:val="22"/>
          <w:szCs w:val="22"/>
        </w:rPr>
        <w:t xml:space="preserve">(a)  </w:t>
      </w:r>
      <w:r>
        <w:rPr>
          <w:rFonts w:ascii="Arial" w:cs="Arial" w:eastAsia="Arial" w:hAnsi="Arial"/>
          <w:sz w:val="22"/>
          <w:szCs w:val="22"/>
        </w:rPr>
        <w:t xml:space="preserve">Solicit, recruit, or attempt to hire any founding team member, employee, contractor, or adviser of PRISM Commerce away from the project; or</w:t>
      </w:r>
    </w:p>
    <w:p>
      <w:pPr>
        <w:spacing w:after="60" w:before="60"/>
        <w:ind w:left="720" w:hanging="360"/>
        <w:jc w:val="both"/>
      </w:pPr>
      <w:r>
        <w:rPr>
          <w:rFonts w:ascii="Arial" w:cs="Arial" w:eastAsia="Arial" w:hAnsi="Arial"/>
          <w:b/>
          <w:bCs/>
          <w:sz w:val="22"/>
          <w:szCs w:val="22"/>
        </w:rPr>
        <w:t xml:space="preserve">(b)  </w:t>
      </w:r>
      <w:r>
        <w:rPr>
          <w:rFonts w:ascii="Arial" w:cs="Arial" w:eastAsia="Arial" w:hAnsi="Arial"/>
          <w:sz w:val="22"/>
          <w:szCs w:val="22"/>
        </w:rPr>
        <w:t xml:space="preserve">Solicit, recruit, or approach any vendor, buyer, or business partner of PRISM Commerce — whose identity was learned through Confidential Information — on behalf of any Competing Platform.</w:t>
      </w:r>
    </w:p>
    <w:p>
      <w:pPr>
        <w:spacing w:after="60" w:before="160"/>
      </w:pPr>
      <w:r>
        <w:rPr>
          <w:rFonts w:ascii="Arial" w:cs="Arial" w:eastAsia="Arial" w:hAnsi="Arial"/>
          <w:b/>
          <w:bCs/>
          <w:sz w:val="22"/>
          <w:szCs w:val="22"/>
        </w:rPr>
        <w:t xml:space="preserve">4.3  Scope Clarification.</w:t>
      </w:r>
    </w:p>
    <w:p>
      <w:pPr>
        <w:spacing w:after="80" w:before="60"/>
        <w:jc w:val="both"/>
      </w:pPr>
      <w:r>
        <w:rPr>
          <w:rFonts w:ascii="Arial" w:cs="Arial" w:eastAsia="Arial" w:hAnsi="Arial"/>
          <w:sz w:val="22"/>
          <w:szCs w:val="22"/>
        </w:rPr>
        <w:t xml:space="preserve">Nothing in this Section prevents the Recipient from:</w:t>
      </w:r>
    </w:p>
    <w:p>
      <w:pPr>
        <w:pStyle w:val="ListParagraph"/>
        <w:numPr>
          <w:ilvl w:val="0"/>
          <w:numId w:val="2"/>
        </w:numPr>
        <w:spacing w:after="60" w:before="60"/>
        <w:jc w:val="both"/>
      </w:pPr>
      <w:r>
        <w:rPr>
          <w:rFonts w:ascii="Arial" w:cs="Arial" w:eastAsia="Arial" w:hAnsi="Arial"/>
          <w:sz w:val="22"/>
          <w:szCs w:val="22"/>
        </w:rPr>
        <w:t xml:space="preserve">Working in the general field of technology, e-commerce, software development, or artificial intelligence, provided such work does not use Confidential Information.</w:t>
      </w:r>
    </w:p>
    <w:p>
      <w:pPr>
        <w:pStyle w:val="ListParagraph"/>
        <w:numPr>
          <w:ilvl w:val="0"/>
          <w:numId w:val="2"/>
        </w:numPr>
        <w:spacing w:after="60" w:before="60"/>
        <w:jc w:val="both"/>
      </w:pPr>
      <w:r>
        <w:rPr>
          <w:rFonts w:ascii="Arial" w:cs="Arial" w:eastAsia="Arial" w:hAnsi="Arial"/>
          <w:sz w:val="22"/>
          <w:szCs w:val="22"/>
        </w:rPr>
        <w:t xml:space="preserve">Securing employment with technology companies that do not constitute a Competing Platform as defined in Section 4.1.</w:t>
      </w:r>
    </w:p>
    <w:p>
      <w:pPr>
        <w:pStyle w:val="ListParagraph"/>
        <w:numPr>
          <w:ilvl w:val="0"/>
          <w:numId w:val="2"/>
        </w:numPr>
        <w:spacing w:after="60" w:before="60"/>
        <w:jc w:val="both"/>
      </w:pPr>
      <w:r>
        <w:rPr>
          <w:rFonts w:ascii="Arial" w:cs="Arial" w:eastAsia="Arial" w:hAnsi="Arial"/>
          <w:sz w:val="22"/>
          <w:szCs w:val="22"/>
        </w:rPr>
        <w:t xml:space="preserve">Building personal projects that do not use Confidential Information and are not substantially similar to PRISM Commerce’s specific combination of features and market position.</w:t>
      </w:r>
    </w:p>
    <w:p>
      <w:pPr>
        <w:spacing w:after="60" w:before="160"/>
      </w:pPr>
      <w:r>
        <w:rPr>
          <w:rFonts w:ascii="Arial" w:cs="Arial" w:eastAsia="Arial" w:hAnsi="Arial"/>
          <w:b/>
          <w:bCs/>
          <w:sz w:val="22"/>
          <w:szCs w:val="22"/>
        </w:rPr>
        <w:t xml:space="preserve">4.4  Enforceability Savings Clause.</w:t>
      </w:r>
    </w:p>
    <w:p>
      <w:pPr>
        <w:spacing w:after="80" w:before="60"/>
        <w:jc w:val="both"/>
      </w:pPr>
      <w:r>
        <w:rPr>
          <w:rFonts w:ascii="Arial" w:cs="Arial" w:eastAsia="Arial" w:hAnsi="Arial"/>
          <w:sz w:val="22"/>
          <w:szCs w:val="22"/>
        </w:rPr>
        <w:t xml:space="preserve">The parties acknowledge that the restrictions in Sections 4.1 and 4.2 are reasonable in scope, duration, and geographic reach and are intended to protect PRISM Commerce’s legitimate business interests. To the extent any provision of this Section is found to be unenforceable or void under Section 27 of the Contract Act, 1872, or any other applicable law, such provision shall be modified or limited to the minimum extent necessary to render it enforceable, or severed if no modification is possible, without affecting the validity or enforceability of the remainder of this Agreement.</w:t>
      </w:r>
    </w:p>
    <w:p>
      <w:pPr>
        <w:pBdr>
          <w:left w:val="thick" w:color="A07820" w:sz="24"/>
        </w:pBdr>
        <w:spacing w:after="160" w:before="100"/>
        <w:ind w:left="400" w:right="400"/>
        <w:jc w:val="both"/>
      </w:pPr>
      <w:r>
        <w:rPr>
          <w:rFonts w:ascii="Arial" w:cs="Arial" w:eastAsia="Arial" w:hAnsi="Arial"/>
          <w:i/>
          <w:iCs/>
          <w:color w:val="555555"/>
          <w:sz w:val="20"/>
          <w:szCs w:val="20"/>
        </w:rPr>
        <w:t xml:space="preserve">এই চুক্তি শেষ হওয়ার বা সদস্যপদ সমাপ্তির পর ১২ মাস পর্যন্ত আপনি PRISM Commerce-এর সাথে সরাসরি প্রতিযোগিতা করতে পারবেন না এবং তাদের vendor, buyer, employee বা contractor-কে অন্যত্র নিয়ে যেতে পারবেন না। সাধারণ tech বা e-commerce-এ কাজ করা বাধা নয়। Bangladesh-এর Contract Act 1872-এর অধীনে যদি কোনো বিধান না চলে, তা সংশোধন করে বাকি চুক্তি কার্যকর রাখা হবে।</w:t>
      </w:r>
    </w:p>
    <w:p>
      <w:pPr>
        <w:spacing w:after="0" w:before="80"/>
      </w:pPr>
      <w:r>
        <w:t xml:space="preserve"/>
      </w:r>
    </w:p>
    <w:p>
      <w:pPr>
        <w:spacing w:after="80" w:before="320"/>
      </w:pPr>
      <w:r>
        <w:rPr>
          <w:rFonts w:ascii="Arial" w:cs="Arial" w:eastAsia="Arial" w:hAnsi="Arial"/>
          <w:b/>
          <w:bCs/>
          <w:color w:val="1B3664"/>
          <w:sz w:val="26"/>
          <w:szCs w:val="26"/>
        </w:rPr>
        <w:t xml:space="preserve">5.  Intellectual Property  (মেধাস্বত্ব)</w:t>
      </w:r>
    </w:p>
    <w:p>
      <w:pPr>
        <w:spacing w:after="60" w:before="160"/>
      </w:pPr>
      <w:r>
        <w:rPr>
          <w:rFonts w:ascii="Arial" w:cs="Arial" w:eastAsia="Arial" w:hAnsi="Arial"/>
          <w:b/>
          <w:bCs/>
          <w:sz w:val="22"/>
          <w:szCs w:val="22"/>
        </w:rPr>
        <w:t xml:space="preserve">5.1  Ownership.</w:t>
      </w:r>
    </w:p>
    <w:p>
      <w:pPr>
        <w:spacing w:after="80" w:before="60"/>
        <w:jc w:val="both"/>
      </w:pPr>
      <w:r>
        <w:rPr>
          <w:rFonts w:ascii="Arial" w:cs="Arial" w:eastAsia="Arial" w:hAnsi="Arial"/>
          <w:sz w:val="22"/>
          <w:szCs w:val="22"/>
        </w:rPr>
        <w:t xml:space="preserve">All Confidential Information of PRISM Commerce remains the exclusive intellectual property of Sagar Biswas / PRISM Commerce. This Agreement does not transfer any intellectual property rights, licence, title, or interest in Confidential Information to the Receiving Party. The Receiving Party acquires no right to use, reproduce, or exploit any Confidential Information beyond the limited Permitted Purpose.</w:t>
      </w:r>
    </w:p>
    <w:p>
      <w:pPr>
        <w:spacing w:after="60" w:before="160"/>
      </w:pPr>
      <w:r>
        <w:rPr>
          <w:rFonts w:ascii="Arial" w:cs="Arial" w:eastAsia="Arial" w:hAnsi="Arial"/>
          <w:b/>
          <w:bCs/>
          <w:sz w:val="22"/>
          <w:szCs w:val="22"/>
        </w:rPr>
        <w:t xml:space="preserve">5.2  Joining Members.</w:t>
      </w:r>
    </w:p>
    <w:p>
      <w:pPr>
        <w:spacing w:after="80" w:before="60"/>
        <w:jc w:val="both"/>
      </w:pPr>
      <w:r>
        <w:rPr>
          <w:rFonts w:ascii="Arial" w:cs="Arial" w:eastAsia="Arial" w:hAnsi="Arial"/>
          <w:sz w:val="22"/>
          <w:szCs w:val="22"/>
        </w:rPr>
        <w:t xml:space="preserve">If the Recipient ultimately joins the founding team and contributes work to PRISM Commerce, intellectual property rights for all such contributions shall be governed exclusively by the PRISM Commerce Equity Vesting Agreement v2.0.0, not by this Agreement. This Agreement shall continue to govern confidentiality obligations independently.</w:t>
      </w:r>
    </w:p>
    <w:p>
      <w:pPr>
        <w:spacing w:after="60" w:before="160"/>
      </w:pPr>
      <w:r>
        <w:rPr>
          <w:rFonts w:ascii="Arial" w:cs="Arial" w:eastAsia="Arial" w:hAnsi="Arial"/>
          <w:b/>
          <w:bCs/>
          <w:sz w:val="22"/>
          <w:szCs w:val="22"/>
        </w:rPr>
        <w:t xml:space="preserve">5.3  No Reverse Engineering.</w:t>
      </w:r>
    </w:p>
    <w:p>
      <w:pPr>
        <w:spacing w:after="80" w:before="60"/>
        <w:jc w:val="both"/>
      </w:pPr>
      <w:r>
        <w:rPr>
          <w:rFonts w:ascii="Arial" w:cs="Arial" w:eastAsia="Arial" w:hAnsi="Arial"/>
          <w:sz w:val="22"/>
          <w:szCs w:val="22"/>
        </w:rPr>
        <w:t xml:space="preserve">The Receiving Party shall not reverse-engineer, decompile, disassemble, or otherwise attempt to derive source code, algorithms, or trade secrets from any software, model, or system constituting Confidential Information.</w:t>
      </w:r>
    </w:p>
    <w:p>
      <w:pPr>
        <w:pBdr>
          <w:left w:val="thick" w:color="A07820" w:sz="24"/>
        </w:pBdr>
        <w:spacing w:after="160" w:before="100"/>
        <w:ind w:left="400" w:right="400"/>
        <w:jc w:val="both"/>
      </w:pPr>
      <w:r>
        <w:rPr>
          <w:rFonts w:ascii="Arial" w:cs="Arial" w:eastAsia="Arial" w:hAnsi="Arial"/>
          <w:i/>
          <w:iCs/>
          <w:color w:val="555555"/>
          <w:sz w:val="20"/>
          <w:szCs w:val="20"/>
        </w:rPr>
        <w:t xml:space="preserve">সমস্ত গোপনীয় তথ্য Sagar Biswas / PRISM Commerce-এর মেধাস্বত্ত্ব। এই চুক্তি কোনো মেধাস্বত্ত্ব হস্তান্তর করে না। যদি আপনি পরে টিমে যোগ দেন, তাহলে IP বিষয়ক অধিকার Vesting Agreement-এ নির্ধারিত হবে।</w:t>
      </w:r>
    </w:p>
    <w:p>
      <w:pPr>
        <w:spacing w:after="0" w:before="80"/>
      </w:pPr>
      <w:r>
        <w:t xml:space="preserve"/>
      </w:r>
    </w:p>
    <w:p>
      <w:pPr>
        <w:spacing w:after="80" w:before="320"/>
      </w:pPr>
      <w:r>
        <w:rPr>
          <w:rFonts w:ascii="Arial" w:cs="Arial" w:eastAsia="Arial" w:hAnsi="Arial"/>
          <w:b/>
          <w:bCs/>
          <w:color w:val="1B3664"/>
          <w:sz w:val="26"/>
          <w:szCs w:val="26"/>
        </w:rPr>
        <w:t xml:space="preserve">6.  Term &amp; Termination  (মেয়াদ এবং সমাপ্তি)</w:t>
      </w:r>
    </w:p>
    <w:p>
      <w:pPr>
        <w:spacing w:after="60" w:before="160"/>
      </w:pPr>
      <w:r>
        <w:rPr>
          <w:rFonts w:ascii="Arial" w:cs="Arial" w:eastAsia="Arial" w:hAnsi="Arial"/>
          <w:b/>
          <w:bCs/>
          <w:sz w:val="22"/>
          <w:szCs w:val="22"/>
        </w:rPr>
        <w:t xml:space="preserve">6.1  Term.</w:t>
      </w:r>
    </w:p>
    <w:p>
      <w:pPr>
        <w:spacing w:after="80" w:before="60"/>
        <w:jc w:val="both"/>
      </w:pPr>
      <w:r>
        <w:rPr>
          <w:rFonts w:ascii="Arial" w:cs="Arial" w:eastAsia="Arial" w:hAnsi="Arial"/>
          <w:sz w:val="22"/>
          <w:szCs w:val="22"/>
        </w:rPr>
        <w:t xml:space="preserve">This Agreement shall become effective on the Effective Date and shall remain in force for 2 (two) years, unless earlier terminated by mutual written agreement of both parties.</w:t>
      </w:r>
    </w:p>
    <w:p>
      <w:pPr>
        <w:spacing w:after="60" w:before="160"/>
      </w:pPr>
      <w:r>
        <w:rPr>
          <w:rFonts w:ascii="Arial" w:cs="Arial" w:eastAsia="Arial" w:hAnsi="Arial"/>
          <w:b/>
          <w:bCs/>
          <w:sz w:val="22"/>
          <w:szCs w:val="22"/>
        </w:rPr>
        <w:t xml:space="preserve">6.2  Survival.</w:t>
      </w:r>
    </w:p>
    <w:p>
      <w:pPr>
        <w:spacing w:after="80" w:before="60"/>
        <w:jc w:val="both"/>
      </w:pPr>
      <w:r>
        <w:rPr>
          <w:rFonts w:ascii="Arial" w:cs="Arial" w:eastAsia="Arial" w:hAnsi="Arial"/>
          <w:sz w:val="22"/>
          <w:szCs w:val="22"/>
        </w:rPr>
        <w:t xml:space="preserve">The confidentiality obligations regarding information disclosed prior to the expiry or termination of this Agreement shall survive for a further period of 2 (two) years. Sections 4 (Non-Compete &amp; Non-Solicitation), 5 (Intellectual Property), 7 (Remedies), and 9 (General Provisions) shall also survive termination to the extent necessary to give effect to their purpose.</w:t>
      </w:r>
    </w:p>
    <w:p>
      <w:pPr>
        <w:spacing w:after="60" w:before="160"/>
      </w:pPr>
      <w:r>
        <w:rPr>
          <w:rFonts w:ascii="Arial" w:cs="Arial" w:eastAsia="Arial" w:hAnsi="Arial"/>
          <w:b/>
          <w:bCs/>
          <w:sz w:val="22"/>
          <w:szCs w:val="22"/>
        </w:rPr>
        <w:t xml:space="preserve">6.3  Force Majeure.</w:t>
      </w:r>
    </w:p>
    <w:p>
      <w:pPr>
        <w:spacing w:after="80" w:before="60"/>
        <w:jc w:val="both"/>
      </w:pPr>
      <w:r>
        <w:rPr>
          <w:rFonts w:ascii="Arial" w:cs="Arial" w:eastAsia="Arial" w:hAnsi="Arial"/>
          <w:sz w:val="22"/>
          <w:szCs w:val="22"/>
        </w:rPr>
        <w:t xml:space="preserve">Neither party shall be in breach of this Agreement for any delay or failure in performance caused by circumstances beyond that party’s reasonable control, including acts of God, natural disasters, nationwide internet or communication failures, or government actions (“Force Majeure Events”), provided the affected party gives prompt written notice and uses reasonable efforts to resume compliance as soon as practicable. A Force Majeure Event shall not excuse any obligation to maintain the confidentiality of information already received.</w:t>
      </w:r>
    </w:p>
    <w:p>
      <w:pPr>
        <w:pBdr>
          <w:left w:val="thick" w:color="A07820" w:sz="24"/>
        </w:pBdr>
        <w:spacing w:after="160" w:before="100"/>
        <w:ind w:left="400" w:right="400"/>
        <w:jc w:val="both"/>
      </w:pPr>
      <w:r>
        <w:rPr>
          <w:rFonts w:ascii="Arial" w:cs="Arial" w:eastAsia="Arial" w:hAnsi="Arial"/>
          <w:i/>
          <w:iCs/>
          <w:color w:val="555555"/>
          <w:sz w:val="20"/>
          <w:szCs w:val="20"/>
        </w:rPr>
        <w:t xml:space="preserve">এই চুক্তির মেয়াদ Effective Date থেকে ২ বছর। মেয়াদ শেষ হওয়ার পরেও আরো ২ বছর গোপনীয়তার দায়িত্ব বজায় থাকবে। অনিয়ন্ত্রণযোগ্য কারণে (force majeure) দায়িত্ব পালনে বিলম্ব হলে তা চুক্তি লঙ্ঘন বলে গণ্য হবে না।</w:t>
      </w:r>
    </w:p>
    <w:p>
      <w:pPr>
        <w:spacing w:after="0" w:before="80"/>
      </w:pPr>
      <w:r>
        <w:t xml:space="preserve"/>
      </w:r>
    </w:p>
    <w:p>
      <w:pPr>
        <w:spacing w:after="80" w:before="320"/>
      </w:pPr>
      <w:r>
        <w:rPr>
          <w:rFonts w:ascii="Arial" w:cs="Arial" w:eastAsia="Arial" w:hAnsi="Arial"/>
          <w:b/>
          <w:bCs/>
          <w:color w:val="1B3664"/>
          <w:sz w:val="26"/>
          <w:szCs w:val="26"/>
        </w:rPr>
        <w:t xml:space="preserve">7.  Remedies  (প্রতিকার)</w:t>
      </w:r>
    </w:p>
    <w:p>
      <w:pPr>
        <w:spacing w:after="60" w:before="160"/>
      </w:pPr>
      <w:r>
        <w:rPr>
          <w:rFonts w:ascii="Arial" w:cs="Arial" w:eastAsia="Arial" w:hAnsi="Arial"/>
          <w:b/>
          <w:bCs/>
          <w:sz w:val="22"/>
          <w:szCs w:val="22"/>
        </w:rPr>
        <w:t xml:space="preserve">7.1  Acknowledgement of Harm.</w:t>
      </w:r>
    </w:p>
    <w:p>
      <w:pPr>
        <w:spacing w:after="80" w:before="60"/>
        <w:jc w:val="both"/>
      </w:pPr>
      <w:r>
        <w:rPr>
          <w:rFonts w:ascii="Arial" w:cs="Arial" w:eastAsia="Arial" w:hAnsi="Arial"/>
          <w:sz w:val="22"/>
          <w:szCs w:val="22"/>
        </w:rPr>
        <w:t xml:space="preserve">Each party acknowledges that any breach of this Agreement would cause irreparable harm to the other party for which monetary damages would be an inadequate remedy.</w:t>
      </w:r>
    </w:p>
    <w:p>
      <w:pPr>
        <w:spacing w:after="60" w:before="160"/>
      </w:pPr>
      <w:r>
        <w:rPr>
          <w:rFonts w:ascii="Arial" w:cs="Arial" w:eastAsia="Arial" w:hAnsi="Arial"/>
          <w:b/>
          <w:bCs/>
          <w:sz w:val="22"/>
          <w:szCs w:val="22"/>
        </w:rPr>
        <w:t xml:space="preserve">7.2  Equitable Relief.</w:t>
      </w:r>
    </w:p>
    <w:p>
      <w:pPr>
        <w:spacing w:after="80" w:before="60"/>
        <w:jc w:val="both"/>
      </w:pPr>
      <w:r>
        <w:rPr>
          <w:rFonts w:ascii="Arial" w:cs="Arial" w:eastAsia="Arial" w:hAnsi="Arial"/>
          <w:sz w:val="22"/>
          <w:szCs w:val="22"/>
        </w:rPr>
        <w:t xml:space="preserve">Accordingly, the non-breaching party shall be entitled to seek equitable relief, including injunction and specific performance, in addition to all other remedies available under applicable law, without the need to post any bond or security.</w:t>
      </w:r>
    </w:p>
    <w:p>
      <w:pPr>
        <w:spacing w:after="60" w:before="160"/>
      </w:pPr>
      <w:r>
        <w:rPr>
          <w:rFonts w:ascii="Arial" w:cs="Arial" w:eastAsia="Arial" w:hAnsi="Arial"/>
          <w:b/>
          <w:bCs/>
          <w:sz w:val="22"/>
          <w:szCs w:val="22"/>
        </w:rPr>
        <w:t xml:space="preserve">7.3  Emergency Injunctive Relief — Court Carve-Out.</w:t>
      </w:r>
    </w:p>
    <w:p>
      <w:pPr>
        <w:spacing w:after="80" w:before="60"/>
        <w:jc w:val="both"/>
      </w:pPr>
      <w:r>
        <w:rPr>
          <w:rFonts w:ascii="Arial" w:cs="Arial" w:eastAsia="Arial" w:hAnsi="Arial"/>
          <w:sz w:val="22"/>
          <w:szCs w:val="22"/>
        </w:rPr>
        <w:t xml:space="preserve">Notwithstanding Section 8 (Governing Law &amp; Dispute Resolution), either party may apply directly to any court of competent jurisdiction in Bangladesh for emergency interim or injunctive relief where necessary to prevent immediate, ongoing, or irreparable harm, without first attempting good-faith negotiation or arbitration as described in Section 8. Such application to a court shall not constitute a waiver of either party’s right to arbitrate the underlying dispute, and arbitration of the substantive matter shall proceed promptly after any interim relief is granted or denied.</w:t>
      </w:r>
    </w:p>
    <w:p>
      <w:pPr>
        <w:spacing w:after="60" w:before="160"/>
      </w:pPr>
      <w:r>
        <w:rPr>
          <w:rFonts w:ascii="Arial" w:cs="Arial" w:eastAsia="Arial" w:hAnsi="Arial"/>
          <w:b/>
          <w:bCs/>
          <w:sz w:val="22"/>
          <w:szCs w:val="22"/>
        </w:rPr>
        <w:t xml:space="preserve">7.4  Recovery of Legal Costs.</w:t>
      </w:r>
    </w:p>
    <w:p>
      <w:pPr>
        <w:spacing w:after="80" w:before="60"/>
        <w:jc w:val="both"/>
      </w:pPr>
      <w:r>
        <w:rPr>
          <w:rFonts w:ascii="Arial" w:cs="Arial" w:eastAsia="Arial" w:hAnsi="Arial"/>
          <w:sz w:val="22"/>
          <w:szCs w:val="22"/>
        </w:rPr>
        <w:t xml:space="preserve">The prevailing party in any arbitration or court proceeding arising under this Agreement shall be entitled to recover its reasonable legal fees, arbitration costs, and associated expenses from the other party, to the extent permitted under applicable Bangladesh law.</w:t>
      </w:r>
    </w:p>
    <w:p>
      <w:pPr>
        <w:pBdr>
          <w:left w:val="thick" w:color="A07820" w:sz="24"/>
        </w:pBdr>
        <w:spacing w:after="160" w:before="100"/>
        <w:ind w:left="400" w:right="400"/>
        <w:jc w:val="both"/>
      </w:pPr>
      <w:r>
        <w:rPr>
          <w:rFonts w:ascii="Arial" w:cs="Arial" w:eastAsia="Arial" w:hAnsi="Arial"/>
          <w:i/>
          <w:iCs/>
          <w:color w:val="555555"/>
          <w:sz w:val="20"/>
          <w:szCs w:val="20"/>
        </w:rPr>
        <w:t xml:space="preserve">চুক্তি লঙ্ঘনের ক্ষেত্রে আর্থিক ক্ষতিপূরণসহ সমস্ত আইনী প্রতিকার পাওয়া যাবে। জরুরি পরিস্থিতিতে arbitration-এর আগেই সরাসরি আদালতে interim injunction চাওয়া যাবে — এটি arbitration-এর অধিকার ক্ষুণ্ণ করে না।</w:t>
      </w:r>
    </w:p>
    <w:p>
      <w:pPr>
        <w:spacing w:after="0" w:before="80"/>
      </w:pPr>
      <w:r>
        <w:t xml:space="preserve"/>
      </w:r>
    </w:p>
    <w:p>
      <w:pPr>
        <w:spacing w:after="80" w:before="320"/>
      </w:pPr>
      <w:r>
        <w:rPr>
          <w:rFonts w:ascii="Arial" w:cs="Arial" w:eastAsia="Arial" w:hAnsi="Arial"/>
          <w:b/>
          <w:bCs/>
          <w:color w:val="1B3664"/>
          <w:sz w:val="26"/>
          <w:szCs w:val="26"/>
        </w:rPr>
        <w:t xml:space="preserve">8.  Governing Law &amp; Dispute Resolution  (আইন ও বিরোধ নিষ্পত্তি)</w:t>
      </w:r>
    </w:p>
    <w:p>
      <w:pPr>
        <w:spacing w:after="60" w:before="160"/>
      </w:pPr>
      <w:r>
        <w:rPr>
          <w:rFonts w:ascii="Arial" w:cs="Arial" w:eastAsia="Arial" w:hAnsi="Arial"/>
          <w:b/>
          <w:bCs/>
          <w:sz w:val="22"/>
          <w:szCs w:val="22"/>
        </w:rPr>
        <w:t xml:space="preserve">8.1  Governing Law.</w:t>
      </w:r>
    </w:p>
    <w:p>
      <w:pPr>
        <w:spacing w:after="80" w:before="60"/>
        <w:jc w:val="both"/>
      </w:pPr>
      <w:r>
        <w:rPr>
          <w:rFonts w:ascii="Arial" w:cs="Arial" w:eastAsia="Arial" w:hAnsi="Arial"/>
          <w:sz w:val="22"/>
          <w:szCs w:val="22"/>
        </w:rPr>
        <w:t xml:space="preserve">This Agreement shall be governed by and construed in accordance with the laws of the People’s Republic of Bangladesh, including the Contract Act, 1872, the Arbitration Act, 2001, and the Cyber Security Act, 2023, to the extent applicable.</w:t>
      </w:r>
    </w:p>
    <w:p>
      <w:pPr>
        <w:spacing w:after="60" w:before="160"/>
      </w:pPr>
      <w:r>
        <w:rPr>
          <w:rFonts w:ascii="Arial" w:cs="Arial" w:eastAsia="Arial" w:hAnsi="Arial"/>
          <w:b/>
          <w:bCs/>
          <w:sz w:val="22"/>
          <w:szCs w:val="22"/>
        </w:rPr>
        <w:t xml:space="preserve">8.2  Good-Faith Negotiation.</w:t>
      </w:r>
    </w:p>
    <w:p>
      <w:pPr>
        <w:spacing w:after="80" w:before="60"/>
        <w:jc w:val="both"/>
      </w:pPr>
      <w:r>
        <w:rPr>
          <w:rFonts w:ascii="Arial" w:cs="Arial" w:eastAsia="Arial" w:hAnsi="Arial"/>
          <w:sz w:val="22"/>
          <w:szCs w:val="22"/>
        </w:rPr>
        <w:t xml:space="preserve">Any dispute, controversy, or claim arising out of or relating to this Agreement, or its breach, termination, or invalidity, shall first be attempted to be resolved through good-faith negotiation between the parties for a period of 14 (fourteen) days following written notice of the dispute by the aggrieved party.</w:t>
      </w:r>
    </w:p>
    <w:p>
      <w:pPr>
        <w:spacing w:after="60" w:before="160"/>
      </w:pPr>
      <w:r>
        <w:rPr>
          <w:rFonts w:ascii="Arial" w:cs="Arial" w:eastAsia="Arial" w:hAnsi="Arial"/>
          <w:b/>
          <w:bCs/>
          <w:sz w:val="22"/>
          <w:szCs w:val="22"/>
        </w:rPr>
        <w:t xml:space="preserve">8.3  Binding Arbitration.</w:t>
      </w:r>
    </w:p>
    <w:p>
      <w:pPr>
        <w:spacing w:after="80" w:before="60"/>
        <w:jc w:val="both"/>
      </w:pPr>
      <w:r>
        <w:rPr>
          <w:rFonts w:ascii="Arial" w:cs="Arial" w:eastAsia="Arial" w:hAnsi="Arial"/>
          <w:sz w:val="22"/>
          <w:szCs w:val="22"/>
        </w:rPr>
        <w:t xml:space="preserve">If negotiation fails to resolve the dispute within the 14-day period, the matter shall be submitted to binding arbitration in Dhaka, Bangladesh, conducted in accordance with the Arbitration Act, 2001. The arbitration shall be conducted in English or Bengali at the mutual preference of the parties. The arbitral award shall be final and binding on both parties and may be enforced in any court of competent jurisdiction. For the avoidance of doubt, Section 7.3 remains available regardless of the status of any negotiation or arbitration.</w:t>
      </w:r>
    </w:p>
    <w:p>
      <w:pPr>
        <w:pBdr>
          <w:left w:val="thick" w:color="A07820" w:sz="24"/>
        </w:pBdr>
        <w:spacing w:after="160" w:before="100"/>
        <w:ind w:left="400" w:right="400"/>
        <w:jc w:val="both"/>
      </w:pPr>
      <w:r>
        <w:rPr>
          <w:rFonts w:ascii="Arial" w:cs="Arial" w:eastAsia="Arial" w:hAnsi="Arial"/>
          <w:i/>
          <w:iCs/>
          <w:color w:val="555555"/>
          <w:sz w:val="20"/>
          <w:szCs w:val="20"/>
        </w:rPr>
        <w:t xml:space="preserve">এই চুক্তি Bangladesh-এর Contract Act 1872, Arbitration Act 2001 এবং Cyber Security Act 2023-এর আলোকে পরিচালিত হবে। বিরোধ প্রথমে ১৪ দিনে সমাধানের চেষ্টা করতে হবে; ব্যর্থ হলে ঢাকায় বাধ্যতামূলক সালিশ হবে।</w:t>
      </w:r>
    </w:p>
    <w:p>
      <w:pPr>
        <w:spacing w:after="0" w:before="80"/>
      </w:pPr>
      <w:r>
        <w:t xml:space="preserve"/>
      </w:r>
    </w:p>
    <w:p>
      <w:pPr>
        <w:spacing w:after="80" w:before="320"/>
      </w:pPr>
      <w:r>
        <w:rPr>
          <w:rFonts w:ascii="Arial" w:cs="Arial" w:eastAsia="Arial" w:hAnsi="Arial"/>
          <w:b/>
          <w:bCs/>
          <w:color w:val="1B3664"/>
          <w:sz w:val="26"/>
          <w:szCs w:val="26"/>
        </w:rPr>
        <w:t xml:space="preserve">9.  General Provisions  (সাধারণ বিধান)</w:t>
      </w:r>
    </w:p>
    <w:p>
      <w:pPr>
        <w:spacing w:after="60" w:before="160"/>
      </w:pPr>
      <w:r>
        <w:rPr>
          <w:rFonts w:ascii="Arial" w:cs="Arial" w:eastAsia="Arial" w:hAnsi="Arial"/>
          <w:b/>
          <w:bCs/>
          <w:sz w:val="22"/>
          <w:szCs w:val="22"/>
        </w:rPr>
        <w:t xml:space="preserve">9.1  Entire Agreement.</w:t>
      </w:r>
    </w:p>
    <w:p>
      <w:pPr>
        <w:spacing w:after="80" w:before="60"/>
        <w:jc w:val="both"/>
      </w:pPr>
      <w:r>
        <w:rPr>
          <w:rFonts w:ascii="Arial" w:cs="Arial" w:eastAsia="Arial" w:hAnsi="Arial"/>
          <w:sz w:val="22"/>
          <w:szCs w:val="22"/>
        </w:rPr>
        <w:t xml:space="preserve">This Agreement, together with the PRISM Commerce Equity Vesting Agreement v2.0.0 (where executed concurrently), constitutes the entire agreement between the parties with respect to confidentiality. It supersedes all prior oral discussions and written understandings on that subject. In the event of any conflict between this Agreement and the Vesting Agreement on confidentiality matters specifically, this Agreement shall prevail.</w:t>
      </w:r>
    </w:p>
    <w:p>
      <w:pPr>
        <w:spacing w:after="60" w:before="160"/>
      </w:pPr>
      <w:r>
        <w:rPr>
          <w:rFonts w:ascii="Arial" w:cs="Arial" w:eastAsia="Arial" w:hAnsi="Arial"/>
          <w:b/>
          <w:bCs/>
          <w:sz w:val="22"/>
          <w:szCs w:val="22"/>
        </w:rPr>
        <w:t xml:space="preserve">9.2  Amendments.</w:t>
      </w:r>
    </w:p>
    <w:p>
      <w:pPr>
        <w:spacing w:after="80" w:before="60"/>
        <w:jc w:val="both"/>
      </w:pPr>
      <w:r>
        <w:rPr>
          <w:rFonts w:ascii="Arial" w:cs="Arial" w:eastAsia="Arial" w:hAnsi="Arial"/>
          <w:sz w:val="22"/>
          <w:szCs w:val="22"/>
        </w:rPr>
        <w:t xml:space="preserve">This Agreement may only be amended by a written instrument signed by both parties. No oral modification shall be effective.</w:t>
      </w:r>
    </w:p>
    <w:p>
      <w:pPr>
        <w:spacing w:after="60" w:before="160"/>
      </w:pPr>
      <w:r>
        <w:rPr>
          <w:rFonts w:ascii="Arial" w:cs="Arial" w:eastAsia="Arial" w:hAnsi="Arial"/>
          <w:b/>
          <w:bCs/>
          <w:sz w:val="22"/>
          <w:szCs w:val="22"/>
        </w:rPr>
        <w:t xml:space="preserve">9.3  Severability.</w:t>
      </w:r>
    </w:p>
    <w:p>
      <w:pPr>
        <w:spacing w:after="80" w:before="60"/>
        <w:jc w:val="both"/>
      </w:pPr>
      <w:r>
        <w:rPr>
          <w:rFonts w:ascii="Arial" w:cs="Arial" w:eastAsia="Arial" w:hAnsi="Arial"/>
          <w:sz w:val="22"/>
          <w:szCs w:val="22"/>
        </w:rPr>
        <w:t xml:space="preserve">If any provision of this Agreement is held by a court or arbitral tribunal to be invalid, illegal, or unenforceable, the remaining provisions shall continue in full force and effect. The invalid provision shall be modified to the minimum extent necessary to make it valid and enforceable, or severed if modification is not possible.</w:t>
      </w:r>
    </w:p>
    <w:p>
      <w:pPr>
        <w:spacing w:after="60" w:before="160"/>
      </w:pPr>
      <w:r>
        <w:rPr>
          <w:rFonts w:ascii="Arial" w:cs="Arial" w:eastAsia="Arial" w:hAnsi="Arial"/>
          <w:b/>
          <w:bCs/>
          <w:sz w:val="22"/>
          <w:szCs w:val="22"/>
        </w:rPr>
        <w:t xml:space="preserve">9.4  Waiver.</w:t>
      </w:r>
    </w:p>
    <w:p>
      <w:pPr>
        <w:spacing w:after="80" w:before="60"/>
        <w:jc w:val="both"/>
      </w:pPr>
      <w:r>
        <w:rPr>
          <w:rFonts w:ascii="Arial" w:cs="Arial" w:eastAsia="Arial" w:hAnsi="Arial"/>
          <w:sz w:val="22"/>
          <w:szCs w:val="22"/>
        </w:rPr>
        <w:t xml:space="preserve">The failure of either party to enforce any provision of this Agreement at any time shall not constitute a waiver of that party’s right to enforce such provision at a later time or to enforce any other provision. Any waiver must be in writing and signed by the waiving party to be effective.</w:t>
      </w:r>
    </w:p>
    <w:p>
      <w:pPr>
        <w:spacing w:after="60" w:before="160"/>
      </w:pPr>
      <w:r>
        <w:rPr>
          <w:rFonts w:ascii="Arial" w:cs="Arial" w:eastAsia="Arial" w:hAnsi="Arial"/>
          <w:b/>
          <w:bCs/>
          <w:sz w:val="22"/>
          <w:szCs w:val="22"/>
        </w:rPr>
        <w:t xml:space="preserve">9.5  Language.</w:t>
      </w:r>
    </w:p>
    <w:p>
      <w:pPr>
        <w:spacing w:after="80" w:before="60"/>
        <w:jc w:val="both"/>
      </w:pPr>
      <w:r>
        <w:rPr>
          <w:rFonts w:ascii="Arial" w:cs="Arial" w:eastAsia="Arial" w:hAnsi="Arial"/>
          <w:sz w:val="22"/>
          <w:szCs w:val="22"/>
        </w:rPr>
        <w:t xml:space="preserve">This Agreement is executed in English. Bangla summaries are provided in each section for reference and accessibility. In the event of any conflict between the English text and any Bangla summary, the English text shall prevail.</w:t>
      </w:r>
    </w:p>
    <w:p>
      <w:pPr>
        <w:spacing w:after="60" w:before="160"/>
      </w:pPr>
      <w:r>
        <w:rPr>
          <w:rFonts w:ascii="Arial" w:cs="Arial" w:eastAsia="Arial" w:hAnsi="Arial"/>
          <w:b/>
          <w:bCs/>
          <w:sz w:val="22"/>
          <w:szCs w:val="22"/>
        </w:rPr>
        <w:t xml:space="preserve">9.6  Assignment &amp; Successors.</w:t>
      </w:r>
    </w:p>
    <w:p>
      <w:pPr>
        <w:spacing w:after="80" w:before="60"/>
        <w:jc w:val="both"/>
      </w:pPr>
      <w:r>
        <w:rPr>
          <w:rFonts w:ascii="Arial" w:cs="Arial" w:eastAsia="Arial" w:hAnsi="Arial"/>
          <w:sz w:val="22"/>
          <w:szCs w:val="22"/>
        </w:rPr>
        <w:t xml:space="preserve">Neither party may assign its rights or obligations under this Agreement without the prior written consent of the other party, except that PRISM Commerce / the Founder may assign this Agreement in connection with a merger, acquisition, corporate reorganisation, or formal incorporation, without the Recipient’s consent, provided the assignee agrees in writing to be bound by its terms. This Agreement shall be binding upon and inure to the benefit of both parties and their respective heirs, executors, administrators, successors, and permitted assigns.</w:t>
      </w:r>
    </w:p>
    <w:p>
      <w:pPr>
        <w:spacing w:after="60" w:before="160"/>
      </w:pPr>
      <w:r>
        <w:rPr>
          <w:rFonts w:ascii="Arial" w:cs="Arial" w:eastAsia="Arial" w:hAnsi="Arial"/>
          <w:b/>
          <w:bCs/>
          <w:sz w:val="22"/>
          <w:szCs w:val="22"/>
        </w:rPr>
        <w:t xml:space="preserve">9.7  Counterparts &amp; Electronic Signatures.</w:t>
      </w:r>
    </w:p>
    <w:p>
      <w:pPr>
        <w:spacing w:after="80" w:before="60"/>
        <w:jc w:val="both"/>
      </w:pPr>
      <w:r>
        <w:rPr>
          <w:rFonts w:ascii="Arial" w:cs="Arial" w:eastAsia="Arial" w:hAnsi="Arial"/>
          <w:sz w:val="22"/>
          <w:szCs w:val="22"/>
        </w:rPr>
        <w:t xml:space="preserve">This Agreement may be executed in one or more counterparts, each of which shall constitute an original, and all of which together shall constitute one and the same Agreement. Electronic signatures, scanned signatures, and PDF signatures shall be deemed valid and binding for all purposes under Bangladesh law.</w:t>
      </w:r>
    </w:p>
    <w:p>
      <w:pPr>
        <w:spacing w:after="60" w:before="160"/>
      </w:pPr>
      <w:r>
        <w:rPr>
          <w:rFonts w:ascii="Arial" w:cs="Arial" w:eastAsia="Arial" w:hAnsi="Arial"/>
          <w:b/>
          <w:bCs/>
          <w:sz w:val="22"/>
          <w:szCs w:val="22"/>
        </w:rPr>
        <w:t xml:space="preserve">9.8  Relationship of Parties.</w:t>
      </w:r>
    </w:p>
    <w:p>
      <w:pPr>
        <w:spacing w:after="80" w:before="60"/>
        <w:jc w:val="both"/>
      </w:pPr>
      <w:r>
        <w:rPr>
          <w:rFonts w:ascii="Arial" w:cs="Arial" w:eastAsia="Arial" w:hAnsi="Arial"/>
          <w:sz w:val="22"/>
          <w:szCs w:val="22"/>
        </w:rPr>
        <w:t xml:space="preserve">Nothing in this Agreement creates any partnership, employment relationship, agency, joint venture, fiduciary duty, or trust between the parties. Each party acts as an independent principal.</w:t>
      </w:r>
    </w:p>
    <w:p>
      <w:pPr>
        <w:spacing w:after="60" w:before="160"/>
      </w:pPr>
      <w:r>
        <w:rPr>
          <w:rFonts w:ascii="Arial" w:cs="Arial" w:eastAsia="Arial" w:hAnsi="Arial"/>
          <w:b/>
          <w:bCs/>
          <w:sz w:val="22"/>
          <w:szCs w:val="22"/>
        </w:rPr>
        <w:t xml:space="preserve">9.9  No Licence.</w:t>
      </w:r>
    </w:p>
    <w:p>
      <w:pPr>
        <w:spacing w:after="80" w:before="60"/>
        <w:jc w:val="both"/>
      </w:pPr>
      <w:r>
        <w:rPr>
          <w:rFonts w:ascii="Arial" w:cs="Arial" w:eastAsia="Arial" w:hAnsi="Arial"/>
          <w:sz w:val="22"/>
          <w:szCs w:val="22"/>
        </w:rPr>
        <w:t xml:space="preserve">Nothing in this Agreement grants the Receiving Party any licence, title, right, or interest in or to the Confidential Information, or any patent, copyright, trade secret, trademark, or other intellectual property of the Disclosing Party, beyond the limited Permitted Purpose stated in Section 1.2.</w:t>
      </w:r>
    </w:p>
    <w:p>
      <w:pPr>
        <w:pBdr>
          <w:left w:val="thick" w:color="A07820" w:sz="24"/>
        </w:pBdr>
        <w:spacing w:after="160" w:before="100"/>
        <w:ind w:left="400" w:right="400"/>
        <w:jc w:val="both"/>
      </w:pPr>
      <w:r>
        <w:rPr>
          <w:rFonts w:ascii="Arial" w:cs="Arial" w:eastAsia="Arial" w:hAnsi="Arial"/>
          <w:i/>
          <w:iCs/>
          <w:color w:val="555555"/>
          <w:sz w:val="20"/>
          <w:szCs w:val="20"/>
        </w:rPr>
        <w:t xml:space="preserve">ধারা ৯-এ চুক্তির সাধারণ বিধান রয়েছে: সম্পূর্ণ চুক্তি (৯.১), সংশোধন (৯.২), পৃথকযোগ্যতা (৯.৩), ছাড় (৯.৪), ভাষা (৯.৫), হস্তান্তর (৯.৬), counterparts (৯.৭), পক্ষের সম্পর্ক (৯.৮), এবং লাইসেন্স না দেওয়া (৯.৯)। ইংরেজি পাঠ ও বাংলা সারাংশে বিরোধ হলে ইংরেজি পাঠ প্রধান্য পাবে।</w:t>
      </w:r>
    </w:p>
    <w:p>
      <w:pPr>
        <w:spacing w:after="0" w:before="80"/>
      </w:pPr>
      <w:r>
        <w:t xml:space="preserve"/>
      </w:r>
    </w:p>
    <w:p>
      <w:pPr>
        <w:spacing w:after="80" w:before="320"/>
      </w:pPr>
      <w:r>
        <w:rPr>
          <w:rFonts w:ascii="Arial" w:cs="Arial" w:eastAsia="Arial" w:hAnsi="Arial"/>
          <w:b/>
          <w:bCs/>
          <w:color w:val="1B3664"/>
          <w:sz w:val="26"/>
          <w:szCs w:val="26"/>
        </w:rPr>
        <w:t xml:space="preserve">10.  Notices  (নোটিশ)</w:t>
      </w:r>
    </w:p>
    <w:p>
      <w:pPr>
        <w:spacing w:after="60" w:before="160"/>
      </w:pPr>
      <w:r>
        <w:rPr>
          <w:rFonts w:ascii="Arial" w:cs="Arial" w:eastAsia="Arial" w:hAnsi="Arial"/>
          <w:b/>
          <w:bCs/>
          <w:sz w:val="22"/>
          <w:szCs w:val="22"/>
        </w:rPr>
        <w:t xml:space="preserve">10.1  Form.</w:t>
      </w:r>
    </w:p>
    <w:p>
      <w:pPr>
        <w:spacing w:after="80" w:before="60"/>
        <w:jc w:val="both"/>
      </w:pPr>
      <w:r>
        <w:rPr>
          <w:rFonts w:ascii="Arial" w:cs="Arial" w:eastAsia="Arial" w:hAnsi="Arial"/>
          <w:sz w:val="22"/>
          <w:szCs w:val="22"/>
        </w:rPr>
        <w:t xml:space="preserve">All notices, requests, demands, consents, and other formal communications required or permitted under this Agreement must be in writing, in English or Bengali, and delivered by one of the following methods:</w:t>
      </w:r>
    </w:p>
    <w:p>
      <w:pPr>
        <w:spacing w:after="60" w:before="60"/>
        <w:ind w:left="720" w:hanging="360"/>
        <w:jc w:val="both"/>
      </w:pPr>
      <w:r>
        <w:rPr>
          <w:rFonts w:ascii="Arial" w:cs="Arial" w:eastAsia="Arial" w:hAnsi="Arial"/>
          <w:b/>
          <w:bCs/>
          <w:sz w:val="22"/>
          <w:szCs w:val="22"/>
        </w:rPr>
        <w:t xml:space="preserve">(a)  </w:t>
      </w:r>
      <w:r>
        <w:rPr>
          <w:rFonts w:ascii="Arial" w:cs="Arial" w:eastAsia="Arial" w:hAnsi="Arial"/>
          <w:sz w:val="22"/>
          <w:szCs w:val="22"/>
        </w:rPr>
        <w:t xml:space="preserve">Hand delivery, effective upon receipt and acknowledgement;</w:t>
      </w:r>
    </w:p>
    <w:p>
      <w:pPr>
        <w:spacing w:after="60" w:before="60"/>
        <w:ind w:left="720" w:hanging="360"/>
        <w:jc w:val="both"/>
      </w:pPr>
      <w:r>
        <w:rPr>
          <w:rFonts w:ascii="Arial" w:cs="Arial" w:eastAsia="Arial" w:hAnsi="Arial"/>
          <w:b/>
          <w:bCs/>
          <w:sz w:val="22"/>
          <w:szCs w:val="22"/>
        </w:rPr>
        <w:t xml:space="preserve">(b)  </w:t>
      </w:r>
      <w:r>
        <w:rPr>
          <w:rFonts w:ascii="Arial" w:cs="Arial" w:eastAsia="Arial" w:hAnsi="Arial"/>
          <w:sz w:val="22"/>
          <w:szCs w:val="22"/>
        </w:rPr>
        <w:t xml:space="preserve">Registered post with acknowledgement due, effective 3 (three) business days after the date of posting; or</w:t>
      </w:r>
    </w:p>
    <w:p>
      <w:pPr>
        <w:spacing w:after="60" w:before="60"/>
        <w:ind w:left="720" w:hanging="360"/>
        <w:jc w:val="both"/>
      </w:pPr>
      <w:r>
        <w:rPr>
          <w:rFonts w:ascii="Arial" w:cs="Arial" w:eastAsia="Arial" w:hAnsi="Arial"/>
          <w:b/>
          <w:bCs/>
          <w:sz w:val="22"/>
          <w:szCs w:val="22"/>
        </w:rPr>
        <w:t xml:space="preserve">(c)  </w:t>
      </w:r>
      <w:r>
        <w:rPr>
          <w:rFonts w:ascii="Arial" w:cs="Arial" w:eastAsia="Arial" w:hAnsi="Arial"/>
          <w:sz w:val="22"/>
          <w:szCs w:val="22"/>
        </w:rPr>
        <w:t xml:space="preserve">Email with a confirmed read receipt or written confirmation of receipt from the other party, effective upon such confirmed receipt.</w:t>
      </w:r>
    </w:p>
    <w:p>
      <w:pPr>
        <w:spacing w:after="60" w:before="160"/>
      </w:pPr>
      <w:r>
        <w:rPr>
          <w:rFonts w:ascii="Arial" w:cs="Arial" w:eastAsia="Arial" w:hAnsi="Arial"/>
          <w:b/>
          <w:bCs/>
          <w:sz w:val="22"/>
          <w:szCs w:val="22"/>
        </w:rPr>
        <w:t xml:space="preserve">10.2  Contact Details.</w:t>
      </w:r>
    </w:p>
    <w:p>
      <w:pPr>
        <w:spacing w:after="100" w:before="60"/>
        <w:jc w:val="both"/>
      </w:pPr>
      <w:r>
        <w:rPr>
          <w:rFonts w:ascii="Arial" w:cs="Arial" w:eastAsia="Arial" w:hAnsi="Arial"/>
          <w:sz w:val="22"/>
          <w:szCs w:val="22"/>
        </w:rPr>
        <w:t xml:space="preserve">Notices shall be sent to the parties at the following addresses. Either party may update its contact details by written notice to the other party.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EEF2F8" w:val="clear"/>
            <w:tcMar>
              <w:top w:type="dxa" w:w="100"/>
              <w:left w:type="dxa" w:w="140"/>
              <w:bottom w:type="dxa" w:w="100"/>
              <w:right w:type="dxa" w:w="140"/>
            </w:tcMar>
          </w:tcPr>
          <w:p>
            <w:pPr>
              <w:spacing w:after="60"/>
            </w:pPr>
            <w:r>
              <w:rPr>
                <w:rFonts w:ascii="Arial" w:cs="Arial" w:eastAsia="Arial" w:hAnsi="Arial"/>
                <w:b/>
                <w:bCs/>
                <w:sz w:val="22"/>
                <w:szCs w:val="22"/>
              </w:rPr>
              <w:t xml:space="preserve">Sagar Biswas — Founder</w:t>
            </w:r>
          </w:p>
          <w:p>
            <w:pPr>
              <w:spacing w:after="40"/>
            </w:pPr>
            <w:r>
              <w:rPr>
                <w:rFonts w:ascii="Arial" w:cs="Arial" w:eastAsia="Arial" w:hAnsi="Arial"/>
                <w:color w:val="555555"/>
                <w:sz w:val="20"/>
                <w:szCs w:val="20"/>
              </w:rPr>
              <w:t xml:space="preserve">Email: [sagar@prism.com.bd — fill before signing]</w:t>
            </w:r>
          </w:p>
          <w:p>
            <w:pPr>
              <w:spacing w:after="40"/>
            </w:pPr>
            <w:r>
              <w:rPr>
                <w:rFonts w:ascii="Arial" w:cs="Arial" w:eastAsia="Arial" w:hAnsi="Arial"/>
                <w:color w:val="555555"/>
                <w:sz w:val="20"/>
                <w:szCs w:val="20"/>
              </w:rPr>
              <w:t xml:space="preserve">WhatsApp / Phone: [+880-XXXXXXXXXX]</w:t>
            </w:r>
          </w:p>
          <w:p>
            <w:pPr>
              <w:spacing w:after="40"/>
            </w:pPr>
            <w:r>
              <w:rPr>
                <w:rFonts w:ascii="Arial" w:cs="Arial" w:eastAsia="Arial" w:hAnsi="Arial"/>
                <w:color w:val="555555"/>
                <w:sz w:val="20"/>
                <w:szCs w:val="20"/>
              </w:rPr>
              <w:t xml:space="preserve">Address: Dhaka, Bangladesh</w:t>
            </w:r>
          </w:p>
        </w:tc>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pPr>
            <w:r>
              <w:rPr>
                <w:rFonts w:ascii="Arial" w:cs="Arial" w:eastAsia="Arial" w:hAnsi="Arial"/>
                <w:b/>
                <w:bCs/>
                <w:sz w:val="22"/>
                <w:szCs w:val="22"/>
              </w:rPr>
              <w:t xml:space="preserve">[Recipient Name] — Receiving Party</w:t>
            </w:r>
          </w:p>
          <w:p>
            <w:pPr>
              <w:spacing w:after="40"/>
            </w:pPr>
            <w:r>
              <w:rPr>
                <w:rFonts w:ascii="Arial" w:cs="Arial" w:eastAsia="Arial" w:hAnsi="Arial"/>
                <w:color w:val="555555"/>
                <w:sz w:val="20"/>
                <w:szCs w:val="20"/>
              </w:rPr>
              <w:t xml:space="preserve">Email: [fill before signing]</w:t>
            </w:r>
          </w:p>
          <w:p>
            <w:pPr>
              <w:spacing w:after="40"/>
            </w:pPr>
            <w:r>
              <w:rPr>
                <w:rFonts w:ascii="Arial" w:cs="Arial" w:eastAsia="Arial" w:hAnsi="Arial"/>
                <w:color w:val="555555"/>
                <w:sz w:val="20"/>
                <w:szCs w:val="20"/>
              </w:rPr>
              <w:t xml:space="preserve">WhatsApp / Phone: [fill before signing]</w:t>
            </w:r>
          </w:p>
          <w:p>
            <w:pPr>
              <w:spacing w:after="40"/>
            </w:pPr>
            <w:r>
              <w:rPr>
                <w:rFonts w:ascii="Arial" w:cs="Arial" w:eastAsia="Arial" w:hAnsi="Arial"/>
                <w:color w:val="555555"/>
                <w:sz w:val="20"/>
                <w:szCs w:val="20"/>
              </w:rPr>
              <w:t xml:space="preserve">Address: [fill before signing]</w:t>
            </w:r>
          </w:p>
        </w:tc>
      </w:tr>
    </w:tbl>
    <w:p>
      <w:pPr>
        <w:pBdr>
          <w:left w:val="thick" w:color="A07820" w:sz="24"/>
        </w:pBdr>
        <w:spacing w:after="160" w:before="100"/>
        <w:ind w:left="400" w:right="400"/>
        <w:jc w:val="both"/>
      </w:pPr>
      <w:r>
        <w:rPr>
          <w:rFonts w:ascii="Arial" w:cs="Arial" w:eastAsia="Arial" w:hAnsi="Arial"/>
          <w:i/>
          <w:iCs/>
          <w:color w:val="555555"/>
          <w:sz w:val="20"/>
          <w:szCs w:val="20"/>
        </w:rPr>
        <w:t xml:space="preserve">এই চুক্তির অধীনে সমস্ত আনুষ্ঠানিক নোটিশ লিখিতভাবে (বাংলা বা ইংরেজিতে) হাতে বিতরণ, registered post, বা email (confirmation সহ) মাধ্যমে পাঠাতে হবে।</w:t>
      </w:r>
    </w:p>
    <w:p>
      <w:pPr>
        <w:spacing w:after="0" w:before="80"/>
      </w:pPr>
      <w:r>
        <w:t xml:space="preserve"/>
      </w:r>
    </w:p>
    <w:p>
      <w:pPr>
        <w:spacing w:after="80" w:before="320"/>
      </w:pPr>
      <w:r>
        <w:rPr>
          <w:rFonts w:ascii="Arial" w:cs="Arial" w:eastAsia="Arial" w:hAnsi="Arial"/>
          <w:b/>
          <w:bCs/>
          <w:color w:val="1B3664"/>
          <w:sz w:val="26"/>
          <w:szCs w:val="26"/>
        </w:rPr>
        <w:t xml:space="preserve">11.  Signatures  (স্বাক্ষর)</w:t>
      </w:r>
    </w:p>
    <w:p>
      <w:pPr>
        <w:spacing w:after="80" w:before="60"/>
        <w:jc w:val="both"/>
      </w:pPr>
      <w:r>
        <w:rPr>
          <w:rFonts w:ascii="Arial" w:cs="Arial" w:eastAsia="Arial" w:hAnsi="Arial"/>
          <w:sz w:val="22"/>
          <w:szCs w:val="22"/>
        </w:rPr>
        <w:t xml:space="preserve">By signing below, both parties confirm that they have read, understood, and agree to be legally bound by all terms and conditions of this Mutual Non-Disclosure Agreement. Both parties acknowledge that they have had the opportunity to seek independent legal advice before signing.</w:t>
      </w:r>
    </w:p>
    <w:p>
      <w:pPr>
        <w:spacing w:after="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97"/>
        <w:gridCol w:w="632"/>
        <w:gridCol w:w="4197"/>
      </w:tblGrid>
      <w:tr>
        <w:tc>
          <w:tcPr>
            <w:tcW w:type="dxa" w:w="4197"/>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pPr>
            <w:r>
              <w:rPr>
                <w:rFonts w:ascii="Arial" w:cs="Arial" w:eastAsia="Arial" w:hAnsi="Arial"/>
                <w:b/>
                <w:bCs/>
                <w:sz w:val="22"/>
                <w:szCs w:val="22"/>
              </w:rPr>
              <w:t xml:space="preserve">Sagar Biswas — Disclosing Party / Founder</w:t>
            </w:r>
          </w:p>
          <w:p>
            <w:pPr>
              <w:spacing w:after="180"/>
            </w:pPr>
            <w:r>
              <w:rPr>
                <w:rFonts w:ascii="Arial" w:cs="Arial" w:eastAsia="Arial" w:hAnsi="Arial"/>
                <w:color w:val="555555"/>
                <w:sz w:val="20"/>
                <w:szCs w:val="20"/>
              </w:rPr>
              <w:t xml:space="preserve">Full-Stack Architect &amp; AI Lead (40%)</w:t>
            </w:r>
          </w:p>
          <w:p>
            <w:pPr>
              <w:spacing w:after="80"/>
            </w:pPr>
            <w:r>
              <w:rPr>
                <w:rFonts w:ascii="Arial" w:cs="Arial" w:eastAsia="Arial" w:hAnsi="Arial"/>
                <w:sz w:val="22"/>
                <w:szCs w:val="22"/>
              </w:rPr>
              <w:t xml:space="preserve">Signature:  ___________________________________</w:t>
            </w:r>
          </w:p>
          <w:p>
            <w:pPr>
              <w:spacing w:after="80"/>
            </w:pPr>
            <w:r>
              <w:rPr>
                <w:rFonts w:ascii="Arial" w:cs="Arial" w:eastAsia="Arial" w:hAnsi="Arial"/>
                <w:sz w:val="22"/>
                <w:szCs w:val="22"/>
              </w:rPr>
              <w:t xml:space="preserve">Date:  _______ / _______ / ____________</w:t>
            </w:r>
          </w:p>
        </w:tc>
        <w:tc>
          <w:tcPr>
            <w:tcW w:type="dxa" w:w="632"/>
            <w:tcBorders>
              <w:top w:val="nil" w:color="FFFFFF" w:sz="0"/>
              <w:left w:val="nil" w:color="FFFFFF" w:sz="0"/>
              <w:bottom w:val="nil" w:color="FFFFFF" w:sz="0"/>
              <w:right w:val="nil" w:color="FFFFFF" w:sz="0"/>
            </w:tcBorders>
          </w:tcPr>
          <w:p>
            <w:r>
              <w:t xml:space="preserve"/>
            </w:r>
          </w:p>
        </w:tc>
        <w:tc>
          <w:tcPr>
            <w:tcW w:type="dxa" w:w="4197"/>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pPr>
            <w:r>
              <w:rPr>
                <w:rFonts w:ascii="Arial" w:cs="Arial" w:eastAsia="Arial" w:hAnsi="Arial"/>
                <w:b/>
                <w:bCs/>
                <w:sz w:val="22"/>
                <w:szCs w:val="22"/>
              </w:rPr>
              <w:t xml:space="preserve">[Recipient Name] — Receiving Party</w:t>
            </w:r>
          </w:p>
          <w:p>
            <w:pPr>
              <w:spacing w:after="180"/>
            </w:pPr>
            <w:r>
              <w:rPr>
                <w:rFonts w:ascii="Arial" w:cs="Arial" w:eastAsia="Arial" w:hAnsi="Arial"/>
                <w:color w:val="555555"/>
                <w:sz w:val="20"/>
                <w:szCs w:val="20"/>
              </w:rPr>
              <w:t xml:space="preserve">[Role Title] — fill before signing</w:t>
            </w:r>
          </w:p>
          <w:p>
            <w:pPr>
              <w:spacing w:after="80"/>
            </w:pPr>
            <w:r>
              <w:rPr>
                <w:rFonts w:ascii="Arial" w:cs="Arial" w:eastAsia="Arial" w:hAnsi="Arial"/>
                <w:sz w:val="22"/>
                <w:szCs w:val="22"/>
              </w:rPr>
              <w:t xml:space="preserve">Signature:  ___________________________________</w:t>
            </w:r>
          </w:p>
          <w:p>
            <w:pPr>
              <w:spacing w:after="80"/>
            </w:pPr>
            <w:r>
              <w:rPr>
                <w:rFonts w:ascii="Arial" w:cs="Arial" w:eastAsia="Arial" w:hAnsi="Arial"/>
                <w:sz w:val="22"/>
                <w:szCs w:val="22"/>
              </w:rPr>
              <w:t xml:space="preserve">Date:  _______ / _______ / ____________</w:t>
            </w:r>
          </w:p>
        </w:tc>
      </w:tr>
    </w:tbl>
    <w:p>
      <w:pPr>
        <w:spacing w:after="0" w:before="220"/>
      </w:pPr>
      <w:r>
        <w:t xml:space="preserve"/>
      </w:r>
    </w:p>
    <w:p>
      <w:pPr>
        <w:spacing w:after="100" w:before="60"/>
        <w:jc w:val="both"/>
      </w:pPr>
      <w:r>
        <w:rPr>
          <w:rFonts w:ascii="Arial" w:cs="Arial" w:eastAsia="Arial" w:hAnsi="Arial"/>
          <w:i/>
          <w:iCs/>
          <w:sz w:val="22"/>
          <w:szCs w:val="22"/>
        </w:rPr>
        <w:t xml:space="preserve">Witnessed by  (সাক্ষী): Both signatures should be witnessed by an independent adult who is not a party to this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97"/>
        <w:gridCol w:w="632"/>
        <w:gridCol w:w="4197"/>
      </w:tblGrid>
      <w:tr>
        <w:tc>
          <w:tcPr>
            <w:tcW w:type="dxa" w:w="4197"/>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80"/>
            </w:pPr>
            <w:r>
              <w:rPr>
                <w:rFonts w:ascii="Arial" w:cs="Arial" w:eastAsia="Arial" w:hAnsi="Arial"/>
                <w:sz w:val="22"/>
                <w:szCs w:val="22"/>
              </w:rPr>
              <w:t xml:space="preserve">Witness 1 — Full Name:</w:t>
            </w:r>
          </w:p>
          <w:p>
            <w:pPr>
              <w:spacing w:after="120"/>
            </w:pPr>
            <w:r>
              <w:rPr>
                <w:rFonts w:ascii="Arial" w:cs="Arial" w:eastAsia="Arial" w:hAnsi="Arial"/>
                <w:sz w:val="22"/>
                <w:szCs w:val="22"/>
              </w:rPr>
              <w:t xml:space="preserve">___________________________________</w:t>
            </w:r>
          </w:p>
          <w:p>
            <w:pPr>
              <w:spacing w:after="80"/>
            </w:pPr>
            <w:r>
              <w:rPr>
                <w:rFonts w:ascii="Arial" w:cs="Arial" w:eastAsia="Arial" w:hAnsi="Arial"/>
                <w:sz w:val="22"/>
                <w:szCs w:val="22"/>
              </w:rPr>
              <w:t xml:space="preserve">Signature &amp; Date:</w:t>
            </w:r>
          </w:p>
          <w:p>
            <w:pPr>
              <w:spacing w:after="80"/>
            </w:pPr>
            <w:r>
              <w:rPr>
                <w:rFonts w:ascii="Arial" w:cs="Arial" w:eastAsia="Arial" w:hAnsi="Arial"/>
                <w:sz w:val="22"/>
                <w:szCs w:val="22"/>
              </w:rPr>
              <w:t xml:space="preserve">___________________________________</w:t>
            </w:r>
          </w:p>
        </w:tc>
        <w:tc>
          <w:tcPr>
            <w:tcW w:type="dxa" w:w="632"/>
            <w:tcBorders>
              <w:top w:val="nil" w:color="FFFFFF" w:sz="0"/>
              <w:left w:val="nil" w:color="FFFFFF" w:sz="0"/>
              <w:bottom w:val="nil" w:color="FFFFFF" w:sz="0"/>
              <w:right w:val="nil" w:color="FFFFFF" w:sz="0"/>
            </w:tcBorders>
          </w:tcPr>
          <w:p>
            <w:r>
              <w:t xml:space="preserve"/>
            </w:r>
          </w:p>
        </w:tc>
        <w:tc>
          <w:tcPr>
            <w:tcW w:type="dxa" w:w="4197"/>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80"/>
            </w:pPr>
            <w:r>
              <w:rPr>
                <w:rFonts w:ascii="Arial" w:cs="Arial" w:eastAsia="Arial" w:hAnsi="Arial"/>
                <w:sz w:val="22"/>
                <w:szCs w:val="22"/>
              </w:rPr>
              <w:t xml:space="preserve">Witness 2 — Full Name:</w:t>
            </w:r>
          </w:p>
          <w:p>
            <w:pPr>
              <w:spacing w:after="120"/>
            </w:pPr>
            <w:r>
              <w:rPr>
                <w:rFonts w:ascii="Arial" w:cs="Arial" w:eastAsia="Arial" w:hAnsi="Arial"/>
                <w:sz w:val="22"/>
                <w:szCs w:val="22"/>
              </w:rPr>
              <w:t xml:space="preserve">___________________________________</w:t>
            </w:r>
          </w:p>
          <w:p>
            <w:pPr>
              <w:spacing w:after="80"/>
            </w:pPr>
            <w:r>
              <w:rPr>
                <w:rFonts w:ascii="Arial" w:cs="Arial" w:eastAsia="Arial" w:hAnsi="Arial"/>
                <w:sz w:val="22"/>
                <w:szCs w:val="22"/>
              </w:rPr>
              <w:t xml:space="preserve">Signature &amp; Date:</w:t>
            </w:r>
          </w:p>
          <w:p>
            <w:pPr>
              <w:spacing w:after="80"/>
            </w:pPr>
            <w:r>
              <w:rPr>
                <w:rFonts w:ascii="Arial" w:cs="Arial" w:eastAsia="Arial" w:hAnsi="Arial"/>
                <w:sz w:val="22"/>
                <w:szCs w:val="22"/>
              </w:rPr>
              <w:t xml:space="preserve">___________________________________</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tcPr>
          <w:p>
            <w:pPr>
              <w:spacing w:after="60"/>
            </w:pPr>
            <w:r>
              <w:rPr>
                <w:rFonts w:ascii="Arial" w:cs="Arial" w:eastAsia="Arial" w:hAnsi="Arial"/>
                <w:b/>
                <w:bCs/>
                <w:sz w:val="20"/>
                <w:szCs w:val="20"/>
              </w:rPr>
              <w:t xml:space="preserve">Note on Witnesses  (সাক্ষী সম্পর্কে নোট):</w:t>
            </w:r>
          </w:p>
          <w:p>
            <w:r>
              <w:rPr>
                <w:rFonts w:ascii="Arial" w:cs="Arial" w:eastAsia="Arial" w:hAnsi="Arial"/>
                <w:i/>
                <w:iCs/>
                <w:color w:val="444444"/>
                <w:sz w:val="20"/>
                <w:szCs w:val="20"/>
              </w:rPr>
              <w:t xml:space="preserve">Witnesses attest only to the identity of the signatory and the fact of signing. Their signatures do not imply understanding of or agreement with the contents of this Agreement. Under the Bangladesh Contract Act, 1872, witness requirements for non-disclosure agreements are not legally mandatory but are strongly recommended as evidence of due execution and good faith. Witnesses must be independent adults who are not party to this Agreement and have no financial interest in PRISM Commerce.</w:t>
            </w:r>
          </w:p>
        </w:tc>
      </w:tr>
    </w:tbl>
    <w:p>
      <w:pPr>
        <w:spacing w:after="0" w:before="180"/>
      </w:pPr>
      <w:r>
        <w:t xml:space="preserve"/>
      </w:r>
    </w:p>
    <w:p>
      <w:pPr>
        <w:pBdr>
          <w:top w:val="single" w:color="CCCCCC" w:sz="4"/>
        </w:pBdr>
        <w:spacing w:after="40" w:before="120"/>
        <w:jc w:val="center"/>
      </w:pPr>
      <w:r>
        <w:rPr>
          <w:rFonts w:ascii="Arial" w:cs="Arial" w:eastAsia="Arial" w:hAnsi="Arial"/>
          <w:color w:val="888888"/>
          <w:sz w:val="18"/>
          <w:szCs w:val="18"/>
        </w:rPr>
        <w:t xml:space="preserve">PRISM Commerce V4.0  ·  Confidential  ·  April 2026  ·  Version 2.0.0</w:t>
      </w:r>
    </w:p>
    <w:p>
      <w:pPr>
        <w:spacing w:after="0" w:before="0"/>
        <w:jc w:val="center"/>
      </w:pPr>
      <w:r>
        <w:rPr>
          <w:rFonts w:ascii="Arial" w:cs="Arial" w:eastAsia="Arial" w:hAnsi="Arial"/>
          <w:i/>
          <w:iCs/>
          <w:color w:val="BBBBBB"/>
          <w:sz w:val="18"/>
          <w:szCs w:val="18"/>
        </w:rPr>
        <w:t xml:space="preserve">“Build the platform that makes Daraz, Shopify, and Netstock unnecessary for Bangladeshi SMEs.”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BBBBBB"/>
        <w:sz w:val="18"/>
        <w:szCs w:val="18"/>
      </w:rPr>
      <w:t xml:space="preserve">  ·  PRISM Commerce V4.0  ·  Confidential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100"/>
      <w:jc w:val="right"/>
    </w:pPr>
    <w:r>
      <w:rPr>
        <w:rFonts w:ascii="Arial" w:cs="Arial" w:eastAsia="Arial" w:hAnsi="Arial"/>
        <w:color w:val="888888"/>
        <w:sz w:val="18"/>
        <w:szCs w:val="18"/>
      </w:rPr>
      <w:t xml:space="preserve">PRISM Commerce  —  Mutual Non-Disclosure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2026-04-03T20:26:59.755Z</dcterms:created>
  <dcterms:modified xsi:type="dcterms:W3CDTF">2026-04-03T20:26:59.756Z</dcterms:modified>
</cp:coreProperties>
</file>

<file path=docProps/custom.xml><?xml version="1.0" encoding="utf-8"?>
<Properties xmlns="http://schemas.openxmlformats.org/officeDocument/2006/custom-properties" xmlns:vt="http://schemas.openxmlformats.org/officeDocument/2006/docPropsVTypes"/>
</file>