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0"/>
          <w:szCs w:val="40"/>
        </w:rPr>
        <w:t xml:space="preserve">PRISM COMMERCE</w:t>
      </w:r>
    </w:p>
    <w:p>
      <w:pPr>
        <w:spacing w:after="80" w:before="0"/>
        <w:jc w:val="center"/>
      </w:pPr>
      <w:r>
        <w:rPr>
          <w:rFonts w:ascii="Arial" w:cs="Arial" w:eastAsia="Arial" w:hAnsi="Arial"/>
          <w:b/>
          <w:bCs/>
          <w:color w:val="1A1A1A"/>
          <w:sz w:val="32"/>
          <w:szCs w:val="32"/>
        </w:rPr>
        <w:t xml:space="preserve">NON-DISCLOSURE AGREEMENT</w:t>
      </w:r>
    </w:p>
    <w:p>
      <w:pPr>
        <w:spacing w:after="40" w:before="0"/>
        <w:jc w:val="center"/>
      </w:pPr>
      <w:r>
        <w:rPr>
          <w:rFonts w:ascii="Arial" w:cs="Arial" w:eastAsia="Arial" w:hAnsi="Arial"/>
          <w:b/>
          <w:bCs/>
          <w:color w:val="1F4E79"/>
          <w:sz w:val="28"/>
          <w:szCs w:val="28"/>
        </w:rPr>
        <w:t xml:space="preserve">গোপনীয়তা চুক্তি</w:t>
      </w:r>
    </w:p>
    <w:p>
      <w:pPr>
        <w:spacing w:after="320" w:before="0"/>
        <w:jc w:val="center"/>
      </w:pPr>
      <w:r>
        <w:rPr>
          <w:rFonts w:ascii="Arial" w:cs="Arial" w:eastAsia="Arial" w:hAnsi="Arial"/>
          <w:i/>
          <w:iCs/>
          <w:color w:val="555555"/>
          <w:sz w:val="20"/>
          <w:szCs w:val="20"/>
        </w:rPr>
        <w:t xml:space="preserve">Protecting Confidential Business &amp; Technical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Mutual Non-Disclosure Agreement (NDA)</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PRISM Commerce V4.0</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Disclosing Party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Sagar Biswas ("Founder")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Receiving Party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Name] ("Recipient") — fill before signing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[DD/MM/YYYY] — fill before signing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(Two) Years from Effective Date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F4E79"/>
                <w:sz w:val="20"/>
                <w:szCs w:val="20"/>
              </w:rPr>
              <w:t xml:space="preserve">Governing Law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Laws of the People's Republic of Bangladesh</w:t>
            </w:r>
          </w:p>
        </w:tc>
      </w:tr>
    </w:tbl>
    <w:p>
      <w:pPr>
        <w:spacing w:after="0" w:before="240"/>
      </w:pPr>
      <w:r>
        <w:t xml:space="preserve"/>
      </w:r>
    </w:p>
    <w:p>
      <w:pPr>
        <w:pStyle w:val="Heading1"/>
        <w:pBdr>
          <w:bottom w:val="single" w:color="1F4E79" w:sz="8" w:space="4"/>
        </w:pBdr>
        <w:spacing w:after="160" w:before="320"/>
      </w:pPr>
      <w:r>
        <w:rPr>
          <w:rFonts w:ascii="Arial" w:cs="Arial" w:eastAsia="Arial" w:hAnsi="Arial"/>
          <w:b/>
          <w:bCs/>
          <w:color w:val="1F4E79"/>
          <w:sz w:val="30"/>
          <w:szCs w:val="30"/>
        </w:rPr>
        <w:t xml:space="preserve">1. Recitals (প্রস্তাবনা)</w:t>
      </w:r>
    </w:p>
    <w:p>
      <w:pPr>
        <w:spacing w:after="80" w:before="80"/>
      </w:pPr>
      <w:r>
        <w:rPr>
          <w:rFonts w:ascii="Arial" w:cs="Arial" w:eastAsia="Arial" w:hAnsi="Arial"/>
          <w:color w:val="1A1A1A"/>
          <w:sz w:val="22"/>
          <w:szCs w:val="22"/>
        </w:rPr>
        <w:t xml:space="preserve">This Non-Disclosure Agreement ("Agreement") is entered into as of the Effective Date stated above, between:</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Sagar Biswas, residing in Dhaka, Bangladesh ("Disclosing Party" / "Founder"), who is the originator and lead developer of PRISM Commerce; and</w:t>
      </w:r>
    </w:p>
    <w:p>
      <w:pPr>
        <w:pStyle w:val="ListParagraph"/>
        <w:numPr>
          <w:ilvl w:val="0"/>
          <w:numId w:val="2"/>
        </w:numPr>
        <w:spacing w:after="60" w:before="60"/>
      </w:pPr>
      <w:r>
        <w:rPr>
          <w:rFonts w:ascii="Arial" w:cs="Arial" w:eastAsia="Arial" w:hAnsi="Arial"/>
          <w:color w:val="1A1A1A"/>
          <w:sz w:val="22"/>
          <w:szCs w:val="22"/>
        </w:rPr>
        <w:t xml:space="preserve">[Full Name of Recipient], a Computer Science &amp; Engineering student / professional, residing at [Address] ("Receiving Party" / "Recipient").</w:t>
      </w:r>
    </w:p>
    <w:p>
      <w:pPr>
        <w:spacing w:after="0" w:before="80"/>
      </w:pPr>
      <w:r>
        <w:t xml:space="preserve"/>
      </w:r>
    </w:p>
    <w:p>
      <w:pPr>
        <w:spacing w:after="80" w:before="80"/>
      </w:pPr>
      <w:r>
        <w:rPr>
          <w:rFonts w:ascii="Arial" w:cs="Arial" w:eastAsia="Arial" w:hAnsi="Arial"/>
          <w:color w:val="1A1A1A"/>
          <w:sz w:val="22"/>
          <w:szCs w:val="22"/>
        </w:rPr>
        <w:t xml:space="preserve">The Disclosing Party possesses certain confidential and proprietary information relating to PRISM Commerce — a Bangla-native, AI-powered multi-vendor e-commerce platform. The Receiving Party has expressed interest in participating in the project or receiving information about it for evaluation purposes.</w:t>
      </w:r>
    </w:p>
    <w:p>
      <w:pPr>
        <w:spacing w:after="0" w:before="80"/>
      </w:pPr>
      <w:r>
        <w:t xml:space="preserve"/>
      </w:r>
    </w:p>
    <w:p>
      <w:pPr>
        <w:spacing w:after="60" w:before="60"/>
      </w:pPr>
      <w:r>
        <w:rPr>
          <w:rFonts w:ascii="Arial" w:cs="Arial" w:eastAsia="Arial" w:hAnsi="Arial"/>
          <w:i/>
          <w:iCs/>
          <w:color w:val="555555"/>
          <w:sz w:val="22"/>
          <w:szCs w:val="22"/>
        </w:rPr>
        <w:t xml:space="preserve">এই চুক্তি Sagar Biswas ("প্রকাশকারী পক্ষ") এবং [নাম] ("গ্রহণকারী পক্ষ")-এর মধ্যে সম্পাদিত হচ্ছে। PRISM Commerce-সম্পর্কিত গোপনীয় তথ্য সুরক্ষিত রাখার উদ্দেশ্যে এই চুক্তি করা হচ্ছে।</w:t>
      </w:r>
    </w:p>
    <w:p>
      <w:pPr>
        <w:pStyle w:val="Heading1"/>
        <w:pBdr>
          <w:bottom w:val="single" w:color="1F4E79" w:sz="8" w:space="4"/>
        </w:pBdr>
        <w:spacing w:after="160" w:before="320"/>
      </w:pPr>
      <w:r>
        <w:rPr>
          <w:rFonts w:ascii="Arial" w:cs="Arial" w:eastAsia="Arial" w:hAnsi="Arial"/>
          <w:b/>
          <w:bCs/>
          <w:color w:val="1F4E79"/>
          <w:sz w:val="30"/>
          <w:szCs w:val="30"/>
        </w:rPr>
        <w:t xml:space="preserve">2. Definition of Confidential Information (গোপনীয় তথ্যের সংজ্ঞা)</w:t>
      </w:r>
    </w:p>
    <w:p>
      <w:pPr>
        <w:spacing w:after="80" w:before="80"/>
      </w:pPr>
      <w:r>
        <w:rPr>
          <w:rFonts w:ascii="Arial" w:cs="Arial" w:eastAsia="Arial" w:hAnsi="Arial"/>
          <w:color w:val="1A1A1A"/>
          <w:sz w:val="22"/>
          <w:szCs w:val="22"/>
        </w:rPr>
        <w:t xml:space="preserve">"Confidential Information" means any and all information disclosed by the Disclosing Party to the Receiving Party, whether orally, in writing, digitally, or by any other means, that is designated as confidential or that reasonably should be understood to be confidential given the nature of the information and the circumstances of disclosure. Confidential Information includes but is not limited to:</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Technical architecture, system design, database schemas, API designs, and source code of PRISM Commerce</w:t>
      </w:r>
    </w:p>
    <w:p>
      <w:pPr>
        <w:pStyle w:val="ListParagraph"/>
        <w:numPr>
          <w:ilvl w:val="0"/>
          <w:numId w:val="2"/>
        </w:numPr>
        <w:spacing w:after="60" w:before="60"/>
      </w:pPr>
      <w:r>
        <w:rPr>
          <w:rFonts w:ascii="Arial" w:cs="Arial" w:eastAsia="Arial" w:hAnsi="Arial"/>
          <w:color w:val="1A1A1A"/>
          <w:sz w:val="22"/>
          <w:szCs w:val="22"/>
        </w:rPr>
        <w:t xml:space="preserve">All 15 AI/ML module specifications, including the GBR ONNX demand forecasting model, Sahayak agentic assistant, RAG pipeline, Opportunity Engine, and Bundle Recommendation Engine</w:t>
      </w:r>
    </w:p>
    <w:p>
      <w:pPr>
        <w:pStyle w:val="ListParagraph"/>
        <w:numPr>
          <w:ilvl w:val="0"/>
          <w:numId w:val="2"/>
        </w:numPr>
        <w:spacing w:after="60" w:before="60"/>
      </w:pPr>
      <w:r>
        <w:rPr>
          <w:rFonts w:ascii="Arial" w:cs="Arial" w:eastAsia="Arial" w:hAnsi="Arial"/>
          <w:color w:val="1A1A1A"/>
          <w:sz w:val="22"/>
          <w:szCs w:val="22"/>
        </w:rPr>
        <w:t xml:space="preserve">Business model, revenue projections, pricing strategy, and financial data</w:t>
      </w:r>
    </w:p>
    <w:p>
      <w:pPr>
        <w:pStyle w:val="ListParagraph"/>
        <w:numPr>
          <w:ilvl w:val="0"/>
          <w:numId w:val="2"/>
        </w:numPr>
        <w:spacing w:after="60" w:before="60"/>
      </w:pPr>
      <w:r>
        <w:rPr>
          <w:rFonts w:ascii="Arial" w:cs="Arial" w:eastAsia="Arial" w:hAnsi="Arial"/>
          <w:color w:val="1A1A1A"/>
          <w:sz w:val="22"/>
          <w:szCs w:val="22"/>
        </w:rPr>
        <w:t xml:space="preserve">The 15-month development roadmap, phase plans, and sprint strategies</w:t>
      </w:r>
    </w:p>
    <w:p>
      <w:pPr>
        <w:pStyle w:val="ListParagraph"/>
        <w:numPr>
          <w:ilvl w:val="0"/>
          <w:numId w:val="2"/>
        </w:numPr>
        <w:spacing w:after="60" w:before="60"/>
      </w:pPr>
      <w:r>
        <w:rPr>
          <w:rFonts w:ascii="Arial" w:cs="Arial" w:eastAsia="Arial" w:hAnsi="Arial"/>
          <w:color w:val="1A1A1A"/>
          <w:sz w:val="22"/>
          <w:szCs w:val="22"/>
        </w:rPr>
        <w:t xml:space="preserve">Market analysis, competitive intelligence, and go-to-market strategy</w:t>
      </w:r>
    </w:p>
    <w:p>
      <w:pPr>
        <w:pStyle w:val="ListParagraph"/>
        <w:numPr>
          <w:ilvl w:val="0"/>
          <w:numId w:val="2"/>
        </w:numPr>
        <w:spacing w:after="60" w:before="60"/>
      </w:pPr>
      <w:r>
        <w:rPr>
          <w:rFonts w:ascii="Arial" w:cs="Arial" w:eastAsia="Arial" w:hAnsi="Arial"/>
          <w:color w:val="1A1A1A"/>
          <w:sz w:val="22"/>
          <w:szCs w:val="22"/>
        </w:rPr>
        <w:t xml:space="preserve">Vendor acquisition strategy, partnership details, and customer lists</w:t>
      </w:r>
    </w:p>
    <w:p>
      <w:pPr>
        <w:pStyle w:val="ListParagraph"/>
        <w:numPr>
          <w:ilvl w:val="0"/>
          <w:numId w:val="2"/>
        </w:numPr>
        <w:spacing w:after="60" w:before="60"/>
      </w:pPr>
      <w:r>
        <w:rPr>
          <w:rFonts w:ascii="Arial" w:cs="Arial" w:eastAsia="Arial" w:hAnsi="Arial"/>
          <w:color w:val="1A1A1A"/>
          <w:sz w:val="22"/>
          <w:szCs w:val="22"/>
        </w:rPr>
        <w:t xml:space="preserve">Equity structure, team composition, and the Founders' Agreement terms</w:t>
      </w:r>
    </w:p>
    <w:p>
      <w:pPr>
        <w:pStyle w:val="ListParagraph"/>
        <w:numPr>
          <w:ilvl w:val="0"/>
          <w:numId w:val="2"/>
        </w:numPr>
        <w:spacing w:after="60" w:before="60"/>
      </w:pPr>
      <w:r>
        <w:rPr>
          <w:rFonts w:ascii="Arial" w:cs="Arial" w:eastAsia="Arial" w:hAnsi="Arial"/>
          <w:color w:val="1A1A1A"/>
          <w:sz w:val="22"/>
          <w:szCs w:val="22"/>
        </w:rPr>
        <w:t xml:space="preserve">Any documents, presentations, code repositories, or communications shared under this Agreement</w:t>
      </w:r>
    </w:p>
    <w:p>
      <w:pPr>
        <w:spacing w:after="0" w:before="80"/>
      </w:pPr>
      <w:r>
        <w:t xml:space="preserve"/>
      </w:r>
    </w:p>
    <w:p>
      <w:pPr>
        <w:spacing w:after="80" w:before="80"/>
      </w:pPr>
      <w:r>
        <w:rPr>
          <w:rFonts w:ascii="Arial" w:cs="Arial" w:eastAsia="Arial" w:hAnsi="Arial"/>
          <w:color w:val="1A1A1A"/>
          <w:sz w:val="22"/>
          <w:szCs w:val="22"/>
        </w:rPr>
        <w:t xml:space="preserve">Confidential Information does NOT include information that: (a) is or becomes publicly available through no breach of this Agreement; (b) was rightfully known to the Receiving Party before disclosure; (c) is independently developed by the Receiving Party without use of Confidential Information; or (d) is required to be disclosed by applicable law, provided the Receiving Party gives prompt written notice.</w:t>
      </w:r>
    </w:p>
    <w:p>
      <w:pPr>
        <w:pStyle w:val="Heading1"/>
        <w:pBdr>
          <w:bottom w:val="single" w:color="1F4E79" w:sz="8" w:space="4"/>
        </w:pBdr>
        <w:spacing w:after="160" w:before="320"/>
      </w:pPr>
      <w:r>
        <w:rPr>
          <w:rFonts w:ascii="Arial" w:cs="Arial" w:eastAsia="Arial" w:hAnsi="Arial"/>
          <w:b/>
          <w:bCs/>
          <w:color w:val="1F4E79"/>
          <w:sz w:val="30"/>
          <w:szCs w:val="30"/>
        </w:rPr>
        <w:t xml:space="preserve">3. Obligations of the Receiving Party (গ্রহণকারীর দায়িত্ব)</w:t>
      </w:r>
    </w:p>
    <w:p>
      <w:pPr>
        <w:spacing w:after="80" w:before="80"/>
      </w:pPr>
      <w:r>
        <w:rPr>
          <w:rFonts w:ascii="Arial" w:cs="Arial" w:eastAsia="Arial" w:hAnsi="Arial"/>
          <w:color w:val="1A1A1A"/>
          <w:sz w:val="22"/>
          <w:szCs w:val="22"/>
        </w:rPr>
        <w:t xml:space="preserve">The Receiving Party agrees to:</w:t>
      </w:r>
    </w:p>
    <w:p>
      <w:pPr>
        <w:spacing w:after="0" w:before="80"/>
      </w:pPr>
      <w:r>
        <w:t xml:space="preserve"/>
      </w:r>
    </w:p>
    <w:p>
      <w:pPr>
        <w:pStyle w:val="ListParagraph"/>
        <w:numPr>
          <w:ilvl w:val="0"/>
          <w:numId w:val="3"/>
        </w:numPr>
        <w:spacing w:after="60" w:before="60"/>
      </w:pPr>
      <w:r>
        <w:rPr>
          <w:rFonts w:ascii="Arial" w:cs="Arial" w:eastAsia="Arial" w:hAnsi="Arial"/>
          <w:color w:val="1A1A1A"/>
          <w:sz w:val="22"/>
          <w:szCs w:val="22"/>
        </w:rPr>
        <w:t xml:space="preserve">Hold all Confidential Information in strict confidence and not disclose it to any third party without the prior written consent of the Disclosing Party.</w:t>
      </w:r>
    </w:p>
    <w:p>
      <w:pPr>
        <w:pStyle w:val="ListParagraph"/>
        <w:numPr>
          <w:ilvl w:val="0"/>
          <w:numId w:val="3"/>
        </w:numPr>
        <w:spacing w:after="60" w:before="60"/>
      </w:pPr>
      <w:r>
        <w:rPr>
          <w:rFonts w:ascii="Arial" w:cs="Arial" w:eastAsia="Arial" w:hAnsi="Arial"/>
          <w:color w:val="1A1A1A"/>
          <w:sz w:val="22"/>
          <w:szCs w:val="22"/>
        </w:rPr>
        <w:t xml:space="preserve">Use the Confidential Information solely for the purpose of evaluating or participating in PRISM Commerce, and for no other purpose whatsoever.</w:t>
      </w:r>
    </w:p>
    <w:p>
      <w:pPr>
        <w:pStyle w:val="ListParagraph"/>
        <w:numPr>
          <w:ilvl w:val="0"/>
          <w:numId w:val="3"/>
        </w:numPr>
        <w:spacing w:after="60" w:before="60"/>
      </w:pPr>
      <w:r>
        <w:rPr>
          <w:rFonts w:ascii="Arial" w:cs="Arial" w:eastAsia="Arial" w:hAnsi="Arial"/>
          <w:color w:val="1A1A1A"/>
          <w:sz w:val="22"/>
          <w:szCs w:val="22"/>
        </w:rPr>
        <w:t xml:space="preserve">Not copy, reproduce, or store Confidential Information in any form beyond what is strictly necessary for the permitted purpose.</w:t>
      </w:r>
    </w:p>
    <w:p>
      <w:pPr>
        <w:pStyle w:val="ListParagraph"/>
        <w:numPr>
          <w:ilvl w:val="0"/>
          <w:numId w:val="3"/>
        </w:numPr>
        <w:spacing w:after="60" w:before="60"/>
      </w:pPr>
      <w:r>
        <w:rPr>
          <w:rFonts w:ascii="Arial" w:cs="Arial" w:eastAsia="Arial" w:hAnsi="Arial"/>
          <w:color w:val="1A1A1A"/>
          <w:sz w:val="22"/>
          <w:szCs w:val="22"/>
        </w:rPr>
        <w:t xml:space="preserve">Immediately notify the Disclosing Party upon becoming aware of any unauthorized use, disclosure, or breach of this Agreement.</w:t>
      </w:r>
    </w:p>
    <w:p>
      <w:pPr>
        <w:pStyle w:val="ListParagraph"/>
        <w:numPr>
          <w:ilvl w:val="0"/>
          <w:numId w:val="3"/>
        </w:numPr>
        <w:spacing w:after="60" w:before="60"/>
      </w:pPr>
      <w:r>
        <w:rPr>
          <w:rFonts w:ascii="Arial" w:cs="Arial" w:eastAsia="Arial" w:hAnsi="Arial"/>
          <w:color w:val="1A1A1A"/>
          <w:sz w:val="22"/>
          <w:szCs w:val="22"/>
        </w:rPr>
        <w:t xml:space="preserve">Upon request or termination of discussions, promptly return or destroy all Confidential Information and any copies thereof, and certify in writing that such return or destruction has been completed.</w:t>
      </w:r>
    </w:p>
    <w:p>
      <w:pPr>
        <w:pStyle w:val="ListParagraph"/>
        <w:numPr>
          <w:ilvl w:val="0"/>
          <w:numId w:val="3"/>
        </w:numPr>
        <w:spacing w:after="60" w:before="60"/>
      </w:pPr>
      <w:r>
        <w:rPr>
          <w:rFonts w:ascii="Arial" w:cs="Arial" w:eastAsia="Arial" w:hAnsi="Arial"/>
          <w:color w:val="1A1A1A"/>
          <w:sz w:val="22"/>
          <w:szCs w:val="22"/>
        </w:rPr>
        <w:t xml:space="preserve">Ensure that any person who needs access to Confidential Information for the permitted purpose is bound by obligations of confidentiality no less restrictive than those in this Agreement.</w:t>
      </w:r>
    </w:p>
    <w:p>
      <w:pPr>
        <w:spacing w:after="0" w:before="80"/>
      </w:pPr>
      <w:r>
        <w:t xml:space="preserve"/>
      </w:r>
    </w:p>
    <w:p>
      <w:pPr>
        <w:spacing w:after="60" w:before="60"/>
      </w:pPr>
      <w:r>
        <w:rPr>
          <w:rFonts w:ascii="Arial" w:cs="Arial" w:eastAsia="Arial" w:hAnsi="Arial"/>
          <w:i/>
          <w:iCs/>
          <w:color w:val="555555"/>
          <w:sz w:val="22"/>
          <w:szCs w:val="22"/>
        </w:rPr>
        <w:t xml:space="preserve">সহজ কথায়: এই চুক্তিতে স্বাক্ষর করার পর আপনি PRISM Commerce-এর কোনো গোপনীয় তথ্য — technical, business, বা financial — কাউকে share করতে পারবেন না। শুধুমাত্র project evaluate করার বা কাজ করার উদ্দেশ্যে ব্যবহার করতে পারবেন।</w:t>
      </w:r>
    </w:p>
    <w:p>
      <w:pPr>
        <w:pStyle w:val="Heading1"/>
        <w:pBdr>
          <w:bottom w:val="single" w:color="1F4E79" w:sz="8" w:space="4"/>
        </w:pBdr>
        <w:spacing w:after="160" w:before="320"/>
      </w:pPr>
      <w:r>
        <w:rPr>
          <w:rFonts w:ascii="Arial" w:cs="Arial" w:eastAsia="Arial" w:hAnsi="Arial"/>
          <w:b/>
          <w:bCs/>
          <w:color w:val="1F4E79"/>
          <w:sz w:val="30"/>
          <w:szCs w:val="30"/>
        </w:rPr>
        <w:t xml:space="preserve">4. Non-Compete &amp; Non-Solicitation (প্রতিযোগিতা না করার অঙ্গীকার)</w:t>
      </w:r>
    </w:p>
    <w:p>
      <w:pPr>
        <w:spacing w:after="80" w:before="80"/>
      </w:pPr>
      <w:r>
        <w:rPr>
          <w:rFonts w:ascii="Arial" w:cs="Arial" w:eastAsia="Arial" w:hAnsi="Arial"/>
          <w:color w:val="1A1A1A"/>
          <w:sz w:val="22"/>
          <w:szCs w:val="22"/>
        </w:rPr>
        <w:t xml:space="preserve">During the term of this Agreement and for a period of 12 (twelve) months thereafter, the Receiving Party agrees not to:</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Directly or indirectly develop, co-found, invest in, or work for any competing venture that is substantially similar to PRISM Commerce — specifically, a Bangla-native AI-powered e-commerce or inventory management platform targeting Bangladesh's SME market — using any Confidential Information obtained under this Agreement.</w:t>
      </w:r>
    </w:p>
    <w:p>
      <w:pPr>
        <w:pStyle w:val="ListParagraph"/>
        <w:numPr>
          <w:ilvl w:val="0"/>
          <w:numId w:val="2"/>
        </w:numPr>
        <w:spacing w:after="60" w:before="60"/>
      </w:pPr>
      <w:r>
        <w:rPr>
          <w:rFonts w:ascii="Arial" w:cs="Arial" w:eastAsia="Arial" w:hAnsi="Arial"/>
          <w:color w:val="1A1A1A"/>
          <w:sz w:val="22"/>
          <w:szCs w:val="22"/>
        </w:rPr>
        <w:t xml:space="preserve">Solicit, recruit, or attempt to hire any member of the PRISM Commerce founding team away from the project.</w:t>
      </w:r>
    </w:p>
    <w:p>
      <w:pPr>
        <w:pStyle w:val="ListParagraph"/>
        <w:numPr>
          <w:ilvl w:val="0"/>
          <w:numId w:val="2"/>
        </w:numPr>
        <w:spacing w:after="60" w:before="60"/>
      </w:pPr>
      <w:r>
        <w:rPr>
          <w:rFonts w:ascii="Arial" w:cs="Arial" w:eastAsia="Arial" w:hAnsi="Arial"/>
          <w:color w:val="1A1A1A"/>
          <w:sz w:val="22"/>
          <w:szCs w:val="22"/>
        </w:rPr>
        <w:t xml:space="preserve">Use the Confidential Information to approach investors, partners, or vendors on behalf of a competing project.</w:t>
      </w:r>
    </w:p>
    <w:p>
      <w:pPr>
        <w:spacing w:after="0" w:before="80"/>
      </w:pPr>
      <w:r>
        <w:t xml:space="preserve"/>
      </w:r>
    </w:p>
    <w:p>
      <w:pPr>
        <w:spacing w:after="80" w:before="80"/>
      </w:pPr>
      <w:r>
        <w:rPr>
          <w:rFonts w:ascii="Arial" w:cs="Arial" w:eastAsia="Arial" w:hAnsi="Arial"/>
          <w:color w:val="1A1A1A"/>
          <w:sz w:val="22"/>
          <w:szCs w:val="22"/>
        </w:rPr>
        <w:t xml:space="preserve">Nothing in this clause prevents the Receiving Party from working in the general field of e-commerce, software development, or AI/ML, provided such work does not use Confidential Information and is not substantially similar to PRISM Commerce's specific combination of features and market position.</w:t>
      </w:r>
    </w:p>
    <w:p>
      <w:pPr>
        <w:pStyle w:val="Heading1"/>
        <w:pBdr>
          <w:bottom w:val="single" w:color="1F4E79" w:sz="8" w:space="4"/>
        </w:pBdr>
        <w:spacing w:after="160" w:before="320"/>
      </w:pPr>
      <w:r>
        <w:rPr>
          <w:rFonts w:ascii="Arial" w:cs="Arial" w:eastAsia="Arial" w:hAnsi="Arial"/>
          <w:b/>
          <w:bCs/>
          <w:color w:val="1F4E79"/>
          <w:sz w:val="30"/>
          <w:szCs w:val="30"/>
        </w:rPr>
        <w:t xml:space="preserve">5. Intellectual Property (মেধাস্বত্ব)</w:t>
      </w:r>
    </w:p>
    <w:p>
      <w:pPr>
        <w:spacing w:after="80" w:before="80"/>
      </w:pPr>
      <w:r>
        <w:rPr>
          <w:rFonts w:ascii="Arial" w:cs="Arial" w:eastAsia="Arial" w:hAnsi="Arial"/>
          <w:color w:val="1A1A1A"/>
          <w:sz w:val="22"/>
          <w:szCs w:val="22"/>
        </w:rPr>
        <w:t xml:space="preserve">All Confidential Information remains the exclusive intellectual property of the Disclosing Party (Sagar Biswas). This Agreement does not transfer any intellectual property rights to the Receiving Party.</w:t>
      </w:r>
    </w:p>
    <w:p>
      <w:pPr>
        <w:spacing w:after="0" w:before="80"/>
      </w:pPr>
      <w:r>
        <w:t xml:space="preserve"/>
      </w:r>
    </w:p>
    <w:p>
      <w:pPr>
        <w:spacing w:after="80" w:before="80"/>
      </w:pPr>
      <w:r>
        <w:rPr>
          <w:rFonts w:ascii="Arial" w:cs="Arial" w:eastAsia="Arial" w:hAnsi="Arial"/>
          <w:color w:val="1A1A1A"/>
          <w:sz w:val="22"/>
          <w:szCs w:val="22"/>
        </w:rPr>
        <w:t xml:space="preserve">If the Receiving Party ultimately joins the founding team and contributes work to PRISM Commerce, intellectual property rights for all contributions shall be governed by the separate Founders' Agreement and/or Vesting Agreement signed at that time — not by this NDA.</w:t>
      </w:r>
    </w:p>
    <w:p>
      <w:pPr>
        <w:pStyle w:val="Heading1"/>
        <w:pBdr>
          <w:bottom w:val="single" w:color="1F4E79" w:sz="8" w:space="4"/>
        </w:pBdr>
        <w:spacing w:after="160" w:before="320"/>
      </w:pPr>
      <w:r>
        <w:rPr>
          <w:rFonts w:ascii="Arial" w:cs="Arial" w:eastAsia="Arial" w:hAnsi="Arial"/>
          <w:b/>
          <w:bCs/>
          <w:color w:val="1F4E79"/>
          <w:sz w:val="30"/>
          <w:szCs w:val="30"/>
        </w:rPr>
        <w:t xml:space="preserve">6. Term &amp; Termination (মেয়াদ)</w:t>
      </w:r>
    </w:p>
    <w:p>
      <w:pPr>
        <w:spacing w:after="80" w:before="80"/>
      </w:pPr>
      <w:r>
        <w:rPr>
          <w:rFonts w:ascii="Arial" w:cs="Arial" w:eastAsia="Arial" w:hAnsi="Arial"/>
          <w:color w:val="1A1A1A"/>
          <w:sz w:val="22"/>
          <w:szCs w:val="22"/>
        </w:rPr>
        <w:t xml:space="preserve">This Agreement shall become effective on the Effective Date and shall remain in force for 2 (two) years, unless earlier terminated by mutual written agreement of both parties. The obligations regarding Confidential Information disclosed prior to termination shall survive the termination of this Agreement for a further period of 2 (two) years.</w:t>
      </w:r>
    </w:p>
    <w:p>
      <w:pPr>
        <w:pStyle w:val="Heading1"/>
        <w:pBdr>
          <w:bottom w:val="single" w:color="1F4E79" w:sz="8" w:space="4"/>
        </w:pBdr>
        <w:spacing w:after="160" w:before="320"/>
      </w:pPr>
      <w:r>
        <w:rPr>
          <w:rFonts w:ascii="Arial" w:cs="Arial" w:eastAsia="Arial" w:hAnsi="Arial"/>
          <w:b/>
          <w:bCs/>
          <w:color w:val="1F4E79"/>
          <w:sz w:val="30"/>
          <w:szCs w:val="30"/>
        </w:rPr>
        <w:t xml:space="preserve">7. Remedies (প্রতিকার)</w:t>
      </w:r>
    </w:p>
    <w:p>
      <w:pPr>
        <w:spacing w:after="80" w:before="80"/>
      </w:pPr>
      <w:r>
        <w:rPr>
          <w:rFonts w:ascii="Arial" w:cs="Arial" w:eastAsia="Arial" w:hAnsi="Arial"/>
          <w:color w:val="1A1A1A"/>
          <w:sz w:val="22"/>
          <w:szCs w:val="22"/>
        </w:rPr>
        <w:t xml:space="preserve">The Receiving Party acknowledges that any breach of this Agreement would cause irreparable harm to the Disclosing Party for which monetary damages would be an inadequate remedy. Accordingly, the Disclosing Party shall be entitled to seek equitable relief, including injunction and specific performance, in addition to all other remedies available under law, without the need to post any bond or security.</w:t>
      </w:r>
    </w:p>
    <w:p>
      <w:pPr>
        <w:spacing w:after="0" w:before="80"/>
      </w:pPr>
      <w:r>
        <w:t xml:space="preserve"/>
      </w:r>
    </w:p>
    <w:p>
      <w:pPr>
        <w:spacing w:after="80" w:before="80"/>
      </w:pPr>
      <w:r>
        <w:rPr>
          <w:rFonts w:ascii="Arial" w:cs="Arial" w:eastAsia="Arial" w:hAnsi="Arial"/>
          <w:color w:val="1A1A1A"/>
          <w:sz w:val="22"/>
          <w:szCs w:val="22"/>
        </w:rPr>
        <w:t xml:space="preserve">The prevailing party in any dispute arising under this Agreement shall be entitled to recover reasonable legal fees and costs from the other party.</w:t>
      </w:r>
    </w:p>
    <w:p>
      <w:pPr>
        <w:pStyle w:val="Heading1"/>
        <w:pBdr>
          <w:bottom w:val="single" w:color="1F4E79" w:sz="8" w:space="4"/>
        </w:pBdr>
        <w:spacing w:after="160" w:before="320"/>
      </w:pPr>
      <w:r>
        <w:rPr>
          <w:rFonts w:ascii="Arial" w:cs="Arial" w:eastAsia="Arial" w:hAnsi="Arial"/>
          <w:b/>
          <w:bCs/>
          <w:color w:val="1F4E79"/>
          <w:sz w:val="30"/>
          <w:szCs w:val="30"/>
        </w:rPr>
        <w:t xml:space="preserve">8. Governing Law &amp; Dispute Resolution (আইন ও বিরোধ নিষ্পত্তি)</w:t>
      </w:r>
    </w:p>
    <w:p>
      <w:pPr>
        <w:spacing w:after="80" w:before="80"/>
      </w:pPr>
      <w:r>
        <w:rPr>
          <w:rFonts w:ascii="Arial" w:cs="Arial" w:eastAsia="Arial" w:hAnsi="Arial"/>
          <w:color w:val="1A1A1A"/>
          <w:sz w:val="22"/>
          <w:szCs w:val="22"/>
        </w:rPr>
        <w:t xml:space="preserve">This Agreement shall be governed by and construed in accordance with the laws of the People's Republic of Bangladesh, including the Contract Act, 1872 and the Information and Communication Technology Act, 2006.</w:t>
      </w:r>
    </w:p>
    <w:p>
      <w:pPr>
        <w:spacing w:after="0" w:before="80"/>
      </w:pPr>
      <w:r>
        <w:t xml:space="preserve"/>
      </w:r>
    </w:p>
    <w:p>
      <w:pPr>
        <w:spacing w:after="80" w:before="80"/>
      </w:pPr>
      <w:r>
        <w:rPr>
          <w:rFonts w:ascii="Arial" w:cs="Arial" w:eastAsia="Arial" w:hAnsi="Arial"/>
          <w:color w:val="1A1A1A"/>
          <w:sz w:val="22"/>
          <w:szCs w:val="22"/>
        </w:rPr>
        <w:t xml:space="preserve">Any dispute, controversy, or claim arising out of or relating to this Agreement shall first be attempted to be resolved through good-faith negotiation between the parties within 14 (fourteen) days of written notice of the dispute. If negotiation fails, the dispute shall be submitted to binding arbitration in Dhaka, Bangladesh, conducted in accordance with the Arbitration Act, 2001. The arbitration proceedings shall be conducted in English or Bengali at the mutual preference of the parties.</w:t>
      </w:r>
    </w:p>
    <w:p>
      <w:pPr>
        <w:pStyle w:val="Heading1"/>
        <w:pBdr>
          <w:bottom w:val="single" w:color="1F4E79" w:sz="8" w:space="4"/>
        </w:pBdr>
        <w:spacing w:after="160" w:before="320"/>
      </w:pPr>
      <w:r>
        <w:rPr>
          <w:rFonts w:ascii="Arial" w:cs="Arial" w:eastAsia="Arial" w:hAnsi="Arial"/>
          <w:b/>
          <w:bCs/>
          <w:color w:val="1F4E79"/>
          <w:sz w:val="30"/>
          <w:szCs w:val="30"/>
        </w:rPr>
        <w:t xml:space="preserve">9. General Provisions (সাধারণ বিধান)</w:t>
      </w:r>
    </w:p>
    <w:p>
      <w:pPr>
        <w:spacing w:after="80" w:before="80"/>
      </w:pPr>
      <w:r>
        <w:rPr>
          <w:rFonts w:ascii="Arial" w:cs="Arial" w:eastAsia="Arial" w:hAnsi="Arial"/>
          <w:color w:val="1A1A1A"/>
          <w:sz w:val="22"/>
          <w:szCs w:val="22"/>
        </w:rPr>
        <w:t xml:space="preserve">Entire Agreement: This Agreement constitutes the entire agreement between the parties with respect to its subject matter and supersedes all prior discussions and agreements relating to confidentiality.</w:t>
      </w:r>
    </w:p>
    <w:p>
      <w:pPr>
        <w:spacing w:after="0" w:before="60"/>
      </w:pPr>
      <w:r>
        <w:t xml:space="preserve"/>
      </w:r>
    </w:p>
    <w:p>
      <w:pPr>
        <w:spacing w:after="80" w:before="80"/>
      </w:pPr>
      <w:r>
        <w:rPr>
          <w:rFonts w:ascii="Arial" w:cs="Arial" w:eastAsia="Arial" w:hAnsi="Arial"/>
          <w:color w:val="1A1A1A"/>
          <w:sz w:val="22"/>
          <w:szCs w:val="22"/>
        </w:rPr>
        <w:t xml:space="preserve">Amendments: This Agreement may only be amended by a written instrument signed by both parties.</w:t>
      </w:r>
    </w:p>
    <w:p>
      <w:pPr>
        <w:spacing w:after="0" w:before="60"/>
      </w:pPr>
      <w:r>
        <w:t xml:space="preserve"/>
      </w:r>
    </w:p>
    <w:p>
      <w:pPr>
        <w:spacing w:after="80" w:before="80"/>
      </w:pPr>
      <w:r>
        <w:rPr>
          <w:rFonts w:ascii="Arial" w:cs="Arial" w:eastAsia="Arial" w:hAnsi="Arial"/>
          <w:color w:val="1A1A1A"/>
          <w:sz w:val="22"/>
          <w:szCs w:val="22"/>
        </w:rPr>
        <w:t xml:space="preserve">Severability: If any provision of this Agreement is held to be invalid or unenforceable, the remaining provisions shall continue in full force and effect.</w:t>
      </w:r>
    </w:p>
    <w:p>
      <w:pPr>
        <w:spacing w:after="0" w:before="60"/>
      </w:pPr>
      <w:r>
        <w:t xml:space="preserve"/>
      </w:r>
    </w:p>
    <w:p>
      <w:pPr>
        <w:spacing w:after="80" w:before="80"/>
      </w:pPr>
      <w:r>
        <w:rPr>
          <w:rFonts w:ascii="Arial" w:cs="Arial" w:eastAsia="Arial" w:hAnsi="Arial"/>
          <w:color w:val="1A1A1A"/>
          <w:sz w:val="22"/>
          <w:szCs w:val="22"/>
        </w:rPr>
        <w:t xml:space="preserve">Waiver: The failure of either party to enforce any provision of this Agreement shall not constitute a waiver of that party's right to enforce such provision at any later time.</w:t>
      </w:r>
    </w:p>
    <w:p>
      <w:pPr>
        <w:spacing w:after="0" w:before="60"/>
      </w:pPr>
      <w:r>
        <w:t xml:space="preserve"/>
      </w:r>
    </w:p>
    <w:p>
      <w:pPr>
        <w:spacing w:after="80" w:before="80"/>
      </w:pPr>
      <w:r>
        <w:rPr>
          <w:rFonts w:ascii="Arial" w:cs="Arial" w:eastAsia="Arial" w:hAnsi="Arial"/>
          <w:color w:val="1A1A1A"/>
          <w:sz w:val="22"/>
          <w:szCs w:val="22"/>
        </w:rPr>
        <w:t xml:space="preserve">Language: This Agreement is executed in English. A Bangla translation may be provided for reference but the English version shall prevail in case of any conflict.</w:t>
      </w:r>
    </w:p>
    <w:p>
      <w:pPr>
        <w:spacing w:after="0" w:before="240"/>
      </w:pPr>
      <w:r>
        <w:t xml:space="preserve"/>
      </w:r>
    </w:p>
    <w:p>
      <w:pPr>
        <w:pStyle w:val="Heading1"/>
        <w:pBdr>
          <w:bottom w:val="single" w:color="1F4E79" w:sz="8" w:space="4"/>
        </w:pBdr>
        <w:spacing w:after="160" w:before="320"/>
      </w:pPr>
      <w:r>
        <w:rPr>
          <w:rFonts w:ascii="Arial" w:cs="Arial" w:eastAsia="Arial" w:hAnsi="Arial"/>
          <w:b/>
          <w:bCs/>
          <w:color w:val="1F4E79"/>
          <w:sz w:val="30"/>
          <w:szCs w:val="30"/>
        </w:rPr>
        <w:t xml:space="preserve">10. Signatures (স্বাক্ষর)</w:t>
      </w:r>
    </w:p>
    <w:p>
      <w:pPr>
        <w:spacing w:after="80" w:before="80"/>
      </w:pPr>
      <w:r>
        <w:rPr>
          <w:rFonts w:ascii="Arial" w:cs="Arial" w:eastAsia="Arial" w:hAnsi="Arial"/>
          <w:color w:val="1A1A1A"/>
          <w:sz w:val="22"/>
          <w:szCs w:val="22"/>
        </w:rPr>
        <w:t xml:space="preserve">By signing below, both parties agree to be legally bound by the terms and conditions of this Non-Disclosure Agreement.</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60"/>
        <w:gridCol w:w="4200"/>
      </w:tblGrid>
      <w:tr>
        <w:tc>
          <w:tcPr>
            <w:tcW w:type="dxa" w:w="4200"/>
            <w:tcBorders>
              <w:top w:val="none" w:color="FFFFFF" w:sz="0"/>
              <w:left w:val="none" w:color="FFFFFF" w:sz="0"/>
              <w:bottom w:val="none" w:color="FFFFFF" w:sz="0"/>
              <w:right w:val="none" w:color="FFFFFF" w:sz="0"/>
            </w:tcBorders>
          </w:tcPr>
          <w:p>
            <w:pPr>
              <w:pBdr>
                <w:bottom w:val="single" w:color="333333" w:sz="6" w:space="1"/>
              </w:pBdr>
            </w:pPr>
            <w:r>
              <w:rPr>
                <w:sz w:val="22"/>
                <w:szCs w:val="22"/>
              </w:rPr>
              <w:t xml:space="preserve"> </w:t>
            </w:r>
          </w:p>
          <w:p>
            <w:pPr>
              <w:spacing w:before="80"/>
            </w:pPr>
            <w:r>
              <w:rPr>
                <w:rFonts w:ascii="Arial" w:cs="Arial" w:eastAsia="Arial" w:hAnsi="Arial"/>
                <w:color w:val="555555"/>
                <w:sz w:val="20"/>
                <w:szCs w:val="20"/>
              </w:rPr>
              <w:t xml:space="preserve">Sagar Biswas — Disclosing Party / Founder</w:t>
            </w:r>
          </w:p>
          <w:p>
            <w:pPr>
              <w:spacing w:after="0" w:before="80"/>
            </w:pPr>
            <w:r>
              <w:t xml:space="preserve"/>
            </w:r>
          </w:p>
          <w:p>
            <w:pPr>
              <w:pBdr>
                <w:bottom w:val="single" w:color="333333" w:sz="6" w:space="1"/>
              </w:pBdr>
            </w:pPr>
            <w:r>
              <w:rPr>
                <w:sz w:val="22"/>
                <w:szCs w:val="22"/>
              </w:rPr>
              <w:t xml:space="preserve"> </w:t>
            </w:r>
          </w:p>
          <w:p>
            <w:pPr>
              <w:spacing w:before="80"/>
            </w:pPr>
            <w:r>
              <w:rPr>
                <w:rFonts w:ascii="Arial" w:cs="Arial" w:eastAsia="Arial" w:hAnsi="Arial"/>
                <w:color w:val="555555"/>
                <w:sz w:val="20"/>
                <w:szCs w:val="20"/>
              </w:rPr>
              <w:t xml:space="preserve">Date:</w:t>
            </w:r>
          </w:p>
        </w:tc>
        <w:tc>
          <w:tcPr>
            <w:tcW w:type="dxa" w:w="960"/>
            <w:tcBorders>
              <w:top w:val="none" w:color="FFFFFF" w:sz="0"/>
              <w:left w:val="none" w:color="FFFFFF" w:sz="0"/>
              <w:bottom w:val="none" w:color="FFFFFF" w:sz="0"/>
              <w:right w:val="none" w:color="FFFFFF" w:sz="0"/>
            </w:tcBorders>
          </w:tcPr>
          <w:p>
            <w:pPr>
              <w:spacing w:after="0" w:before="120"/>
            </w:pPr>
            <w:r>
              <w:t xml:space="preserve"/>
            </w:r>
          </w:p>
        </w:tc>
        <w:tc>
          <w:tcPr>
            <w:tcW w:type="dxa" w:w="4200"/>
            <w:tcBorders>
              <w:top w:val="none" w:color="FFFFFF" w:sz="0"/>
              <w:left w:val="none" w:color="FFFFFF" w:sz="0"/>
              <w:bottom w:val="none" w:color="FFFFFF" w:sz="0"/>
              <w:right w:val="none" w:color="FFFFFF" w:sz="0"/>
            </w:tcBorders>
          </w:tcPr>
          <w:p>
            <w:pPr>
              <w:pBdr>
                <w:bottom w:val="single" w:color="333333" w:sz="6" w:space="1"/>
              </w:pBdr>
            </w:pPr>
            <w:r>
              <w:rPr>
                <w:sz w:val="22"/>
                <w:szCs w:val="22"/>
              </w:rPr>
              <w:t xml:space="preserve"> </w:t>
            </w:r>
          </w:p>
          <w:p>
            <w:pPr>
              <w:spacing w:before="80"/>
            </w:pPr>
            <w:r>
              <w:rPr>
                <w:rFonts w:ascii="Arial" w:cs="Arial" w:eastAsia="Arial" w:hAnsi="Arial"/>
                <w:color w:val="555555"/>
                <w:sz w:val="20"/>
                <w:szCs w:val="20"/>
              </w:rPr>
              <w:t xml:space="preserve">[Recipient Name] — Receiving Party</w:t>
            </w:r>
          </w:p>
          <w:p>
            <w:pPr>
              <w:spacing w:after="0" w:before="80"/>
            </w:pPr>
            <w:r>
              <w:t xml:space="preserve"/>
            </w:r>
          </w:p>
          <w:p>
            <w:pPr>
              <w:pBdr>
                <w:bottom w:val="single" w:color="333333" w:sz="6" w:space="1"/>
              </w:pBdr>
            </w:pPr>
            <w:r>
              <w:rPr>
                <w:sz w:val="22"/>
                <w:szCs w:val="22"/>
              </w:rPr>
              <w:t xml:space="preserve"> </w:t>
            </w:r>
          </w:p>
          <w:p>
            <w:pPr>
              <w:spacing w:before="80"/>
            </w:pPr>
            <w:r>
              <w:rPr>
                <w:rFonts w:ascii="Arial" w:cs="Arial" w:eastAsia="Arial" w:hAnsi="Arial"/>
                <w:color w:val="555555"/>
                <w:sz w:val="20"/>
                <w:szCs w:val="20"/>
              </w:rPr>
              <w:t xml:space="preserve">Date:</w:t>
            </w:r>
          </w:p>
        </w:tc>
      </w:tr>
    </w:tbl>
    <w:p>
      <w:pPr>
        <w:spacing w:after="0" w:before="240"/>
      </w:pPr>
      <w:r>
        <w:t xml:space="preserve"/>
      </w:r>
    </w:p>
    <w:p>
      <w:pPr>
        <w:jc w:val="center"/>
      </w:pPr>
      <w:r>
        <w:rPr>
          <w:rFonts w:ascii="Arial" w:cs="Arial" w:eastAsia="Arial" w:hAnsi="Arial"/>
          <w:i/>
          <w:iCs/>
          <w:color w:val="555555"/>
          <w:sz w:val="18"/>
          <w:szCs w:val="18"/>
        </w:rPr>
        <w:t xml:space="preserve">PRISM Commerce V4.0  ·  Confidential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555555"/>
        <w:sz w:val="18"/>
        <w:szCs w:val="18"/>
      </w:rPr>
      <w:t xml:space="preserve">CONFIDENTIAL  |  PRISM Commerce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color w:val="555555"/>
        <w:sz w:val="18"/>
        <w:szCs w:val="18"/>
      </w:rPr>
      <w:t xml:space="preserve">PRISM Commerce — Non-Disclosure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2026-04-03T12:16:26.252Z</dcterms:created>
  <dcterms:modified xsi:type="dcterms:W3CDTF">2026-04-03T12:16:26.252Z</dcterms:modified>
</cp:coreProperties>
</file>

<file path=docProps/custom.xml><?xml version="1.0" encoding="utf-8"?>
<Properties xmlns="http://schemas.openxmlformats.org/officeDocument/2006/custom-properties" xmlns:vt="http://schemas.openxmlformats.org/officeDocument/2006/docPropsVTypes"/>
</file>