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C3" w:rsidRDefault="00953A73" w:rsidP="00CA38EF">
      <w:pPr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  <w:r w:rsidR="00CA38EF">
        <w:rPr>
          <w:sz w:val="28"/>
          <w:szCs w:val="28"/>
        </w:rPr>
        <w:t>5</w:t>
      </w:r>
      <w:r>
        <w:rPr>
          <w:sz w:val="28"/>
          <w:szCs w:val="28"/>
        </w:rPr>
        <w:t>540</w:t>
      </w:r>
      <w:r w:rsidR="00CA38EF">
        <w:rPr>
          <w:sz w:val="28"/>
          <w:szCs w:val="28"/>
        </w:rPr>
        <w:t xml:space="preserve"> – SPACE FLIGHT DYNAMICS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No. 3</w:t>
      </w:r>
      <w:r w:rsidR="0077370D">
        <w:rPr>
          <w:sz w:val="28"/>
          <w:szCs w:val="28"/>
        </w:rPr>
        <w:t xml:space="preserve"> – 100 points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(Perturbations and Orbit </w:t>
      </w:r>
      <w:proofErr w:type="spellStart"/>
      <w:r>
        <w:rPr>
          <w:sz w:val="28"/>
          <w:szCs w:val="28"/>
        </w:rPr>
        <w:t>Maneuvers</w:t>
      </w:r>
      <w:proofErr w:type="spellEnd"/>
      <w:r>
        <w:rPr>
          <w:sz w:val="28"/>
          <w:szCs w:val="28"/>
        </w:rPr>
        <w:t>)</w:t>
      </w:r>
    </w:p>
    <w:p w:rsidR="00625EDD" w:rsidRDefault="00141147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Due:  23</w:t>
      </w:r>
      <w:r w:rsidR="00953A73">
        <w:rPr>
          <w:sz w:val="28"/>
          <w:szCs w:val="28"/>
        </w:rPr>
        <w:t xml:space="preserve"> March 2017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</w:p>
    <w:p w:rsidR="00CA38EF" w:rsidRDefault="00CB5D1B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16</w:t>
      </w:r>
      <w:r w:rsidR="00953A73">
        <w:rPr>
          <w:sz w:val="28"/>
          <w:szCs w:val="28"/>
        </w:rPr>
        <w:t xml:space="preserve"> March 2017</w:t>
      </w:r>
    </w:p>
    <w:p w:rsidR="00CA38EF" w:rsidRDefault="00CA38EF" w:rsidP="00CA38EF">
      <w:pPr>
        <w:spacing w:after="0" w:line="240" w:lineRule="auto"/>
        <w:jc w:val="right"/>
        <w:rPr>
          <w:sz w:val="28"/>
          <w:szCs w:val="28"/>
        </w:rPr>
      </w:pPr>
    </w:p>
    <w:p w:rsidR="00CA38EF" w:rsidRPr="00C6306D" w:rsidRDefault="00CA38EF" w:rsidP="00CA38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 perturbing force acting on a satellite has the form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where vectors</w:t>
      </w:r>
      <w:r>
        <w:rPr>
          <w:rFonts w:eastAsiaTheme="minorEastAsia"/>
          <w:sz w:val="28"/>
          <w:szCs w:val="28"/>
        </w:rPr>
        <w:t xml:space="preserve"> ‘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’ </w:t>
      </w:r>
      <w:r w:rsidR="00C6306D">
        <w:rPr>
          <w:rFonts w:eastAsiaTheme="minorEastAsia"/>
          <w:sz w:val="28"/>
          <w:szCs w:val="28"/>
        </w:rPr>
        <w:t>is</w:t>
      </w:r>
      <w:r w:rsidR="00102132">
        <w:rPr>
          <w:rFonts w:eastAsiaTheme="minorEastAsia"/>
          <w:sz w:val="28"/>
          <w:szCs w:val="28"/>
        </w:rPr>
        <w:t xml:space="preserve"> for unit vector in radial</w:t>
      </w:r>
      <w:r>
        <w:rPr>
          <w:rFonts w:eastAsiaTheme="minorEastAsia"/>
          <w:sz w:val="28"/>
          <w:szCs w:val="28"/>
        </w:rPr>
        <w:t xml:space="preserve"> direction,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is for a unit vector in tangential direction,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is a unit vector in the direction of the satellite’s angular momentum vector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acc>
      </m:oMath>
      <w:r w:rsidR="00C6306D">
        <w:rPr>
          <w:rFonts w:eastAsiaTheme="minorEastAsia"/>
          <w:sz w:val="28"/>
          <w:szCs w:val="28"/>
        </w:rPr>
        <w:t xml:space="preserve"> and these vectors are mutually perpendicular to each other.  Beginning with the relative equations of motion of the satellite and using relationships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=r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8"/>
            <w:szCs w:val="28"/>
          </w:rPr>
          <m:t>=K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where K = constant.</w:t>
      </w:r>
    </w:p>
    <w:p w:rsidR="00C6306D" w:rsidRPr="00C6306D" w:rsidRDefault="00C6306D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Show that the angular momentum of the satellite is not conserved and for what conditions, other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>= 0, will the energy be conserved?</w:t>
      </w:r>
    </w:p>
    <w:p w:rsidR="00C6306D" w:rsidRPr="00256839" w:rsidRDefault="00256839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Show that the force component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</m:oMath>
      <w:r>
        <w:rPr>
          <w:rFonts w:eastAsiaTheme="minorEastAsia"/>
          <w:sz w:val="28"/>
          <w:szCs w:val="28"/>
        </w:rPr>
        <w:t xml:space="preserve"> is related to the parameter ‘p=semi </w:t>
      </w:r>
      <w:proofErr w:type="spellStart"/>
      <w:r>
        <w:rPr>
          <w:rFonts w:eastAsiaTheme="minorEastAsia"/>
          <w:sz w:val="28"/>
          <w:szCs w:val="28"/>
        </w:rPr>
        <w:t>latus</w:t>
      </w:r>
      <w:proofErr w:type="spellEnd"/>
      <w:r>
        <w:rPr>
          <w:rFonts w:eastAsiaTheme="minorEastAsia"/>
          <w:sz w:val="28"/>
          <w:szCs w:val="28"/>
        </w:rPr>
        <w:t xml:space="preserve"> rectum’.</w:t>
      </w:r>
    </w:p>
    <w:p w:rsidR="00256839" w:rsidRPr="008B537F" w:rsidRDefault="00256839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will the semi-major axis change in time as a function of the perturbing force components?</w:t>
      </w:r>
    </w:p>
    <w:p w:rsidR="008B537F" w:rsidRPr="004C6F44" w:rsidRDefault="004C6F44" w:rsidP="008B53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satellites listed below compare the secular rate-of-change of the longitude of the ascending node and the argument of perigee in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 xml:space="preserve">/day due </w:t>
      </w:r>
      <w:proofErr w:type="gramStart"/>
      <w:r>
        <w:rPr>
          <w:sz w:val="28"/>
          <w:szCs w:val="28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C6F44" w:rsidRDefault="004C6F44" w:rsidP="004C6F44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2233"/>
        <w:gridCol w:w="2216"/>
        <w:gridCol w:w="2206"/>
      </w:tblGrid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S/C Name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‘i’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‘e’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Shuttle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6,600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Lageos</w:t>
            </w:r>
            <w:proofErr w:type="spellEnd"/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12,265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105.0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ESPN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42164.2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</w:tr>
    </w:tbl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Use the following constants:</w:t>
      </w:r>
    </w:p>
    <w:p w:rsidR="004C6F44" w:rsidRPr="004C6F44" w:rsidRDefault="004C6F44" w:rsidP="004C6F44">
      <w:pPr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μ=3.986012 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=1.092627 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and </m:t>
          </m:r>
        </m:oMath>
      </m:oMathPara>
    </w:p>
    <w:p w:rsidR="004C6F44" w:rsidRPr="004C6F44" w:rsidRDefault="004C6F44" w:rsidP="004C6F44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radius of earth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=6378.145 km            </m:t>
          </m:r>
        </m:oMath>
      </m:oMathPara>
    </w:p>
    <w:p w:rsidR="004C6F44" w:rsidRDefault="006A34D1" w:rsidP="006A34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 sun-synchronous orbit with 3 day revisit capability </w:t>
      </w:r>
      <w:r w:rsidR="004B542D">
        <w:rPr>
          <w:sz w:val="28"/>
          <w:szCs w:val="28"/>
        </w:rPr>
        <w:t xml:space="preserve">(no. of orbits is variable for you to select) </w:t>
      </w:r>
      <w:r>
        <w:rPr>
          <w:sz w:val="28"/>
          <w:szCs w:val="28"/>
        </w:rPr>
        <w:t xml:space="preserve">whose local time is 10:00 UT.  Draw the Ground </w:t>
      </w:r>
      <w:r w:rsidR="006D6FA5">
        <w:rPr>
          <w:sz w:val="28"/>
          <w:szCs w:val="28"/>
        </w:rPr>
        <w:t>Trace of the designed</w:t>
      </w:r>
      <w:r w:rsidR="00947931">
        <w:rPr>
          <w:sz w:val="28"/>
          <w:szCs w:val="28"/>
        </w:rPr>
        <w:t xml:space="preserve"> orbit for four</w:t>
      </w:r>
      <w:r>
        <w:rPr>
          <w:sz w:val="28"/>
          <w:szCs w:val="28"/>
        </w:rPr>
        <w:t xml:space="preserve"> days and show that the revisit is happening in your design.  Hint:  Use the sun-synchronous orbit design s/w provided to you and also the ground</w:t>
      </w:r>
      <w:r w:rsidR="00947931">
        <w:rPr>
          <w:sz w:val="28"/>
          <w:szCs w:val="28"/>
        </w:rPr>
        <w:t xml:space="preserve"> trace software given in Curtis.</w:t>
      </w:r>
      <w:r w:rsidR="0013228A">
        <w:rPr>
          <w:sz w:val="28"/>
          <w:szCs w:val="28"/>
        </w:rPr>
        <w:t xml:space="preserve">  Give </w:t>
      </w:r>
      <w:r w:rsidR="0013228A">
        <w:rPr>
          <w:sz w:val="28"/>
          <w:szCs w:val="28"/>
        </w:rPr>
        <w:lastRenderedPageBreak/>
        <w:t>the design details and the corresponding outputs in your submission and not the code.</w:t>
      </w:r>
    </w:p>
    <w:p w:rsidR="007E2496" w:rsidRDefault="00B90CD4" w:rsidP="006A34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object </w:t>
      </w:r>
      <w:r w:rsidR="007E2496">
        <w:rPr>
          <w:sz w:val="28"/>
          <w:szCs w:val="28"/>
        </w:rPr>
        <w:t>Upper Atmosphere Research Satellite (UARS) whose mass was 5668 Kg and of size 4.6 m diameter cylinder with a length of around 9.7 m re</w:t>
      </w:r>
      <w:r w:rsidR="00AD0DE6">
        <w:rPr>
          <w:sz w:val="28"/>
          <w:szCs w:val="28"/>
        </w:rPr>
        <w:t>-</w:t>
      </w:r>
      <w:r w:rsidR="007E2496">
        <w:rPr>
          <w:sz w:val="28"/>
          <w:szCs w:val="28"/>
        </w:rPr>
        <w:t xml:space="preserve">entered earth at the end of the life around year 2005.  The residual fuel is completely drained for satellite passivation.  </w:t>
      </w:r>
      <w:r w:rsidR="00FA6A0B">
        <w:rPr>
          <w:sz w:val="28"/>
          <w:szCs w:val="28"/>
        </w:rPr>
        <w:t xml:space="preserve">The re-entry </w:t>
      </w:r>
      <w:r w:rsidR="007E2496">
        <w:rPr>
          <w:sz w:val="28"/>
          <w:szCs w:val="28"/>
        </w:rPr>
        <w:t>campaign and the predicted decay of the semi-major axis</w:t>
      </w:r>
      <w:r w:rsidR="00AD0DE6">
        <w:rPr>
          <w:sz w:val="28"/>
          <w:szCs w:val="28"/>
        </w:rPr>
        <w:t xml:space="preserve"> and the shape of satellite</w:t>
      </w:r>
      <w:r w:rsidR="007E2496">
        <w:rPr>
          <w:sz w:val="28"/>
          <w:szCs w:val="28"/>
        </w:rPr>
        <w:t xml:space="preserve"> is given as below:</w:t>
      </w:r>
    </w:p>
    <w:p w:rsidR="007E2496" w:rsidRDefault="007E2496" w:rsidP="007E2496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E2496" w:rsidRDefault="007E2496" w:rsidP="007E2496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F70AC00" wp14:editId="70833F5C">
            <wp:extent cx="2623457" cy="2166257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0" cy="21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DE6">
        <w:rPr>
          <w:noProof/>
          <w:sz w:val="28"/>
          <w:szCs w:val="28"/>
          <w:lang w:eastAsia="en-IN"/>
        </w:rPr>
        <w:drawing>
          <wp:inline distT="0" distB="0" distL="0" distR="0" wp14:anchorId="6DDA3B15" wp14:editId="68198B2A">
            <wp:extent cx="2503714" cy="2024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45" cy="20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D4" w:rsidRDefault="00B90CD4" w:rsidP="003A0425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 w:rsidRPr="007E2496">
        <w:rPr>
          <w:sz w:val="28"/>
          <w:szCs w:val="28"/>
        </w:rPr>
        <w:t>The ballistic coefficient for the satellite is given as</w:t>
      </w:r>
      <w:r w:rsidR="007F2C8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F2C81">
        <w:rPr>
          <w:sz w:val="28"/>
          <w:szCs w:val="28"/>
        </w:rPr>
        <w:t xml:space="preserve">0.015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</m:oMath>
      <w:r w:rsidR="007F2C81">
        <w:rPr>
          <w:sz w:val="28"/>
          <w:szCs w:val="28"/>
        </w:rPr>
        <w:t xml:space="preserve"> </w:t>
      </w:r>
      <w:r w:rsidRPr="007E2496">
        <w:rPr>
          <w:sz w:val="28"/>
          <w:szCs w:val="28"/>
        </w:rPr>
        <w:t>and the orbit is</w:t>
      </w:r>
      <w:r w:rsidR="00650AE2" w:rsidRPr="007E2496">
        <w:rPr>
          <w:sz w:val="28"/>
          <w:szCs w:val="28"/>
        </w:rPr>
        <w:t xml:space="preserve"> at</w:t>
      </w:r>
      <w:r w:rsidR="003A0425">
        <w:rPr>
          <w:sz w:val="28"/>
          <w:szCs w:val="28"/>
        </w:rPr>
        <w:t xml:space="preserve"> an altitude of 243</w:t>
      </w:r>
      <m:oMath>
        <m:r>
          <w:rPr>
            <w:rFonts w:ascii="Cambria Math" w:hAnsi="Cambria Math"/>
            <w:sz w:val="28"/>
            <w:szCs w:val="28"/>
          </w:rPr>
          <m:t>×275 km</m:t>
        </m:r>
      </m:oMath>
      <w:r w:rsidR="003A0425">
        <w:rPr>
          <w:rFonts w:eastAsiaTheme="minorEastAsia"/>
          <w:sz w:val="28"/>
          <w:szCs w:val="28"/>
        </w:rPr>
        <w:t xml:space="preserve"> and 57 </w:t>
      </w:r>
      <w:proofErr w:type="spellStart"/>
      <w:r w:rsidR="003A0425">
        <w:rPr>
          <w:rFonts w:eastAsiaTheme="minorEastAsia"/>
          <w:sz w:val="28"/>
          <w:szCs w:val="28"/>
        </w:rPr>
        <w:t>deg</w:t>
      </w:r>
      <w:proofErr w:type="spellEnd"/>
      <w:r w:rsidR="003A0425">
        <w:rPr>
          <w:rFonts w:eastAsiaTheme="minorEastAsia"/>
          <w:sz w:val="28"/>
          <w:szCs w:val="28"/>
        </w:rPr>
        <w:t xml:space="preserve"> </w:t>
      </w:r>
      <w:proofErr w:type="gramStart"/>
      <w:r w:rsidR="003A0425">
        <w:rPr>
          <w:rFonts w:eastAsiaTheme="minorEastAsia"/>
          <w:sz w:val="28"/>
          <w:szCs w:val="28"/>
        </w:rPr>
        <w:t>inclination</w:t>
      </w:r>
      <w:proofErr w:type="gramEnd"/>
      <w:r w:rsidR="003A0425">
        <w:rPr>
          <w:rFonts w:eastAsiaTheme="minorEastAsia"/>
          <w:sz w:val="28"/>
          <w:szCs w:val="28"/>
        </w:rPr>
        <w:t xml:space="preserve">.  </w:t>
      </w:r>
      <w:r w:rsidR="00082F76">
        <w:rPr>
          <w:rFonts w:eastAsiaTheme="minorEastAsia"/>
          <w:sz w:val="28"/>
          <w:szCs w:val="28"/>
        </w:rPr>
        <w:t xml:space="preserve">The </w:t>
      </w:r>
      <w:r w:rsidR="00294D20">
        <w:rPr>
          <w:rFonts w:eastAsiaTheme="minorEastAsia"/>
          <w:sz w:val="28"/>
          <w:szCs w:val="28"/>
        </w:rPr>
        <w:t xml:space="preserve">atmospheric </w:t>
      </w:r>
      <w:r w:rsidR="00082F76">
        <w:rPr>
          <w:rFonts w:eastAsiaTheme="minorEastAsia"/>
          <w:sz w:val="28"/>
          <w:szCs w:val="28"/>
        </w:rPr>
        <w:t xml:space="preserve">density </w:t>
      </w:r>
      <w:r w:rsidR="00294D20">
        <w:rPr>
          <w:rFonts w:eastAsiaTheme="minorEastAsia"/>
          <w:sz w:val="28"/>
          <w:szCs w:val="28"/>
        </w:rPr>
        <w:t xml:space="preserve">value </w:t>
      </w:r>
      <w:r w:rsidR="00082F76">
        <w:rPr>
          <w:rFonts w:eastAsiaTheme="minorEastAsia"/>
          <w:sz w:val="28"/>
          <w:szCs w:val="28"/>
        </w:rPr>
        <w:t xml:space="preserve">can be </w:t>
      </w:r>
      <w:r w:rsidR="00294D20">
        <w:rPr>
          <w:rFonts w:eastAsiaTheme="minorEastAsia"/>
          <w:sz w:val="28"/>
          <w:szCs w:val="28"/>
        </w:rPr>
        <w:t>taken from the plot given in</w:t>
      </w:r>
      <w:r w:rsidR="00082F76">
        <w:rPr>
          <w:rFonts w:eastAsiaTheme="minorEastAsia"/>
          <w:sz w:val="28"/>
          <w:szCs w:val="28"/>
        </w:rPr>
        <w:t xml:space="preserve"> class.   </w:t>
      </w:r>
      <w:r>
        <w:rPr>
          <w:sz w:val="28"/>
          <w:szCs w:val="28"/>
        </w:rPr>
        <w:t xml:space="preserve">Calculate the rate of decay </w:t>
      </w:r>
      <w:r w:rsidR="00472391">
        <w:rPr>
          <w:sz w:val="28"/>
          <w:szCs w:val="28"/>
        </w:rPr>
        <w:t xml:space="preserve">of ‘a’ </w:t>
      </w:r>
      <w:r>
        <w:rPr>
          <w:sz w:val="28"/>
          <w:szCs w:val="28"/>
        </w:rPr>
        <w:t xml:space="preserve">for this object </w:t>
      </w:r>
      <w:r w:rsidR="00082F76">
        <w:rPr>
          <w:sz w:val="28"/>
          <w:szCs w:val="28"/>
        </w:rPr>
        <w:t xml:space="preserve">by the procedure given in the class </w:t>
      </w:r>
      <w:r w:rsidR="00472391">
        <w:rPr>
          <w:sz w:val="28"/>
          <w:szCs w:val="28"/>
        </w:rPr>
        <w:t>and compare</w:t>
      </w:r>
      <w:r w:rsidR="004B542D">
        <w:rPr>
          <w:sz w:val="28"/>
          <w:szCs w:val="28"/>
        </w:rPr>
        <w:t xml:space="preserve"> the value</w:t>
      </w:r>
      <w:r w:rsidR="003A0425">
        <w:rPr>
          <w:sz w:val="28"/>
          <w:szCs w:val="28"/>
        </w:rPr>
        <w:t xml:space="preserve"> </w:t>
      </w:r>
      <w:r w:rsidR="00294D20">
        <w:rPr>
          <w:sz w:val="28"/>
          <w:szCs w:val="28"/>
        </w:rPr>
        <w:t>to the data given</w:t>
      </w:r>
      <w:r w:rsidR="00472391">
        <w:rPr>
          <w:sz w:val="28"/>
          <w:szCs w:val="28"/>
        </w:rPr>
        <w:t xml:space="preserve"> above</w:t>
      </w:r>
      <w:r w:rsidR="00082F76">
        <w:rPr>
          <w:sz w:val="28"/>
          <w:szCs w:val="28"/>
        </w:rPr>
        <w:t xml:space="preserve"> </w:t>
      </w:r>
      <w:r w:rsidR="00472391">
        <w:rPr>
          <w:sz w:val="28"/>
          <w:szCs w:val="28"/>
        </w:rPr>
        <w:t>and comment</w:t>
      </w:r>
      <w:r w:rsidR="00294D20">
        <w:rPr>
          <w:sz w:val="28"/>
          <w:szCs w:val="28"/>
        </w:rPr>
        <w:t xml:space="preserve"> on your results</w:t>
      </w:r>
      <w:r>
        <w:rPr>
          <w:sz w:val="28"/>
          <w:szCs w:val="28"/>
        </w:rPr>
        <w:t>?</w:t>
      </w:r>
    </w:p>
    <w:p w:rsidR="00C81695" w:rsidRDefault="00C81695" w:rsidP="003A0425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C81695" w:rsidRPr="00B90CD4" w:rsidRDefault="00C81695" w:rsidP="00C816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smartTag w:uri="urn:schemas-microsoft-com:office:smarttags" w:element="metricconverter">
        <w:smartTagPr>
          <w:attr w:name="ProductID" w:val="550 Kg"/>
        </w:smartTagPr>
        <w:r w:rsidR="004527B5">
          <w:rPr>
            <w:sz w:val="28"/>
            <w:szCs w:val="28"/>
          </w:rPr>
          <w:t>550 Kg</w:t>
        </w:r>
      </w:smartTag>
      <w:r w:rsidR="004527B5">
        <w:rPr>
          <w:sz w:val="28"/>
          <w:szCs w:val="28"/>
        </w:rPr>
        <w:t xml:space="preserve"> </w:t>
      </w:r>
      <w:r>
        <w:rPr>
          <w:sz w:val="28"/>
          <w:szCs w:val="28"/>
        </w:rPr>
        <w:t>low earth orbit satellite ‘Spacecraft Re</w:t>
      </w:r>
      <w:r w:rsidR="00777FC6">
        <w:rPr>
          <w:sz w:val="28"/>
          <w:szCs w:val="28"/>
        </w:rPr>
        <w:t>-e</w:t>
      </w:r>
      <w:r>
        <w:rPr>
          <w:sz w:val="28"/>
          <w:szCs w:val="28"/>
        </w:rPr>
        <w:t>ntry Experiment (</w:t>
      </w:r>
      <w:smartTag w:uri="urn:schemas-microsoft-com:office:smarttags" w:element="stockticker">
        <w:r>
          <w:rPr>
            <w:sz w:val="28"/>
            <w:szCs w:val="28"/>
          </w:rPr>
          <w:t>SRE</w:t>
        </w:r>
      </w:smartTag>
      <w:r w:rsidR="004527B5">
        <w:rPr>
          <w:sz w:val="28"/>
          <w:szCs w:val="28"/>
        </w:rPr>
        <w:t>-1</w:t>
      </w:r>
      <w:r>
        <w:rPr>
          <w:sz w:val="28"/>
          <w:szCs w:val="28"/>
        </w:rPr>
        <w:t xml:space="preserve">)’ was </w:t>
      </w:r>
      <w:r w:rsidR="004527B5">
        <w:rPr>
          <w:sz w:val="28"/>
          <w:szCs w:val="28"/>
        </w:rPr>
        <w:t>prepared to re-enter earth</w:t>
      </w:r>
      <w:r>
        <w:rPr>
          <w:sz w:val="28"/>
          <w:szCs w:val="28"/>
        </w:rPr>
        <w:t xml:space="preserve"> </w:t>
      </w:r>
      <w:r w:rsidR="004527B5">
        <w:rPr>
          <w:sz w:val="28"/>
          <w:szCs w:val="28"/>
        </w:rPr>
        <w:t>from</w:t>
      </w:r>
      <w:r>
        <w:rPr>
          <w:sz w:val="28"/>
          <w:szCs w:val="28"/>
        </w:rPr>
        <w:t xml:space="preserve"> a </w:t>
      </w:r>
      <w:r w:rsidR="004527B5">
        <w:rPr>
          <w:sz w:val="28"/>
          <w:szCs w:val="28"/>
        </w:rPr>
        <w:t xml:space="preserve">485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smartTag w:uri="urn:schemas-microsoft-com:office:smarttags" w:element="metricconverter">
        <w:smartTagPr>
          <w:attr w:name="ProductID" w:val="637 Km"/>
        </w:smartTagPr>
        <w:r w:rsidR="004527B5">
          <w:rPr>
            <w:sz w:val="28"/>
            <w:szCs w:val="28"/>
          </w:rPr>
          <w:t>637 Km</w:t>
        </w:r>
      </w:smartTag>
      <w:r w:rsidR="004527B5">
        <w:rPr>
          <w:sz w:val="28"/>
          <w:szCs w:val="28"/>
        </w:rPr>
        <w:t xml:space="preserve"> elliptical</w:t>
      </w:r>
      <w:r>
        <w:rPr>
          <w:sz w:val="28"/>
          <w:szCs w:val="28"/>
        </w:rPr>
        <w:t xml:space="preserve"> polar orbit.  </w:t>
      </w:r>
      <w:r w:rsidR="005A2358">
        <w:rPr>
          <w:sz w:val="28"/>
          <w:szCs w:val="28"/>
        </w:rPr>
        <w:t>T</w:t>
      </w:r>
      <w:r w:rsidR="001D07C1">
        <w:rPr>
          <w:sz w:val="28"/>
          <w:szCs w:val="28"/>
        </w:rPr>
        <w:t>he time of de-</w:t>
      </w:r>
      <w:r w:rsidR="005A2358">
        <w:rPr>
          <w:sz w:val="28"/>
          <w:szCs w:val="28"/>
        </w:rPr>
        <w:t>boost</w:t>
      </w:r>
      <w:r w:rsidR="001D07C1">
        <w:rPr>
          <w:sz w:val="28"/>
          <w:szCs w:val="28"/>
        </w:rPr>
        <w:t xml:space="preserve"> is planned at the </w:t>
      </w:r>
      <w:r w:rsidR="005A2358">
        <w:rPr>
          <w:sz w:val="28"/>
          <w:szCs w:val="28"/>
        </w:rPr>
        <w:t xml:space="preserve">true anomaly of </w:t>
      </w:r>
      <w:r w:rsidR="001D07C1">
        <w:rPr>
          <w:sz w:val="28"/>
          <w:szCs w:val="28"/>
        </w:rPr>
        <w:t>30</w:t>
      </w:r>
      <w:r w:rsidR="001D07C1">
        <w:rPr>
          <w:rFonts w:cstheme="minorHAnsi"/>
          <w:sz w:val="28"/>
          <w:szCs w:val="28"/>
        </w:rPr>
        <w:t>⁰</w:t>
      </w:r>
      <w:r w:rsidR="001D07C1">
        <w:rPr>
          <w:sz w:val="28"/>
          <w:szCs w:val="28"/>
        </w:rPr>
        <w:t xml:space="preserve"> prior to apogee</w:t>
      </w:r>
      <w:r w:rsidR="005A2358">
        <w:rPr>
          <w:sz w:val="28"/>
          <w:szCs w:val="28"/>
        </w:rPr>
        <w:t xml:space="preserve"> </w:t>
      </w:r>
      <w:r w:rsidR="00F305C4">
        <w:rPr>
          <w:sz w:val="28"/>
          <w:szCs w:val="28"/>
        </w:rPr>
        <w:t>(from perigee 150</w:t>
      </w:r>
      <w:r w:rsidR="00F305C4">
        <w:rPr>
          <w:rFonts w:cstheme="minorHAnsi"/>
          <w:sz w:val="28"/>
          <w:szCs w:val="28"/>
        </w:rPr>
        <w:t>⁰</w:t>
      </w:r>
      <w:r w:rsidR="00F305C4">
        <w:rPr>
          <w:rFonts w:cstheme="minorHAnsi"/>
          <w:sz w:val="28"/>
          <w:szCs w:val="28"/>
        </w:rPr>
        <w:t>)</w:t>
      </w:r>
      <w:r w:rsidR="00F305C4">
        <w:rPr>
          <w:sz w:val="28"/>
          <w:szCs w:val="28"/>
        </w:rPr>
        <w:t xml:space="preserve"> </w:t>
      </w:r>
      <w:r w:rsidR="005A2358">
        <w:rPr>
          <w:sz w:val="28"/>
          <w:szCs w:val="28"/>
        </w:rPr>
        <w:t xml:space="preserve">and reaches the earth at the end of the </w:t>
      </w:r>
      <w:proofErr w:type="spellStart"/>
      <w:r w:rsidR="005A2358">
        <w:rPr>
          <w:sz w:val="28"/>
          <w:szCs w:val="28"/>
        </w:rPr>
        <w:t>maneuver</w:t>
      </w:r>
      <w:proofErr w:type="spellEnd"/>
      <w:r w:rsidR="005A2358">
        <w:rPr>
          <w:sz w:val="28"/>
          <w:szCs w:val="28"/>
        </w:rPr>
        <w:t xml:space="preserve">.  Plan your </w:t>
      </w:r>
      <w:proofErr w:type="spellStart"/>
      <w:r w:rsidR="005A2358">
        <w:rPr>
          <w:sz w:val="28"/>
          <w:szCs w:val="28"/>
        </w:rPr>
        <w:t>maneuver</w:t>
      </w:r>
      <w:proofErr w:type="spellEnd"/>
      <w:r w:rsidR="005A2358">
        <w:rPr>
          <w:sz w:val="28"/>
          <w:szCs w:val="28"/>
        </w:rPr>
        <w:t xml:space="preserve"> and </w:t>
      </w:r>
      <w:r w:rsidR="00E71AE4">
        <w:rPr>
          <w:sz w:val="28"/>
          <w:szCs w:val="28"/>
        </w:rPr>
        <w:t>calculate</w:t>
      </w:r>
      <w:r w:rsidR="005A2358">
        <w:rPr>
          <w:sz w:val="28"/>
          <w:szCs w:val="28"/>
        </w:rPr>
        <w:t xml:space="preserve"> out the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5A2358">
        <w:rPr>
          <w:rFonts w:eastAsiaTheme="minorEastAsia"/>
          <w:sz w:val="28"/>
          <w:szCs w:val="28"/>
        </w:rPr>
        <w:t xml:space="preserve"> required </w:t>
      </w:r>
      <w:r w:rsidR="003A4181">
        <w:rPr>
          <w:rFonts w:eastAsiaTheme="minorEastAsia"/>
          <w:sz w:val="28"/>
          <w:szCs w:val="28"/>
        </w:rPr>
        <w:t xml:space="preserve">and mass of </w:t>
      </w:r>
      <w:r w:rsidR="00E71AE4">
        <w:rPr>
          <w:rFonts w:eastAsiaTheme="minorEastAsia"/>
          <w:sz w:val="28"/>
          <w:szCs w:val="28"/>
        </w:rPr>
        <w:t>the fuel</w:t>
      </w:r>
      <w:r w:rsidR="00F305C4">
        <w:rPr>
          <w:rFonts w:eastAsiaTheme="minorEastAsia"/>
          <w:sz w:val="28"/>
          <w:szCs w:val="28"/>
        </w:rPr>
        <w:t xml:space="preserve"> together with</w:t>
      </w:r>
      <w:bookmarkStart w:id="0" w:name="_GoBack"/>
      <w:bookmarkEnd w:id="0"/>
      <w:r w:rsidR="003A4181">
        <w:rPr>
          <w:rFonts w:eastAsiaTheme="minorEastAsia"/>
          <w:sz w:val="28"/>
          <w:szCs w:val="28"/>
        </w:rPr>
        <w:t xml:space="preserve"> </w:t>
      </w:r>
      <w:r w:rsidR="005A2358">
        <w:rPr>
          <w:rFonts w:eastAsiaTheme="minorEastAsia"/>
          <w:sz w:val="28"/>
          <w:szCs w:val="28"/>
        </w:rPr>
        <w:t xml:space="preserve">the orientation of </w:t>
      </w:r>
      <w:smartTag w:uri="urn:schemas-microsoft-com:office:smarttags" w:element="stockticker">
        <w:r w:rsidR="005A2358">
          <w:rPr>
            <w:rFonts w:eastAsiaTheme="minorEastAsia"/>
            <w:sz w:val="28"/>
            <w:szCs w:val="28"/>
          </w:rPr>
          <w:t>SRE</w:t>
        </w:r>
      </w:smartTag>
      <w:r w:rsidR="005A2358">
        <w:rPr>
          <w:rFonts w:eastAsiaTheme="minorEastAsia"/>
          <w:sz w:val="28"/>
          <w:szCs w:val="28"/>
        </w:rPr>
        <w:t>-1 for deboost.</w:t>
      </w:r>
      <w:r w:rsidR="009E06A2">
        <w:rPr>
          <w:rFonts w:eastAsiaTheme="minorEastAsia"/>
          <w:sz w:val="28"/>
          <w:szCs w:val="28"/>
        </w:rPr>
        <w:t xml:space="preserve">  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sp</m:t>
            </m:r>
          </m:sub>
        </m:sSub>
      </m:oMath>
      <w:r w:rsidR="009E06A2">
        <w:rPr>
          <w:rFonts w:eastAsiaTheme="minorEastAsia"/>
          <w:sz w:val="28"/>
          <w:szCs w:val="28"/>
        </w:rPr>
        <w:t xml:space="preserve"> = 275 </w:t>
      </w:r>
      <w:proofErr w:type="spellStart"/>
      <w:r w:rsidR="009E06A2">
        <w:rPr>
          <w:rFonts w:eastAsiaTheme="minorEastAsia"/>
          <w:sz w:val="28"/>
          <w:szCs w:val="28"/>
        </w:rPr>
        <w:t>secs</w:t>
      </w:r>
      <w:proofErr w:type="spellEnd"/>
      <w:r w:rsidR="009E06A2">
        <w:rPr>
          <w:rFonts w:eastAsiaTheme="minorEastAsia"/>
          <w:sz w:val="28"/>
          <w:szCs w:val="28"/>
        </w:rPr>
        <w:t>.</w:t>
      </w:r>
      <w:r w:rsidR="005A2358">
        <w:rPr>
          <w:rFonts w:eastAsiaTheme="minorEastAsia"/>
          <w:sz w:val="28"/>
          <w:szCs w:val="28"/>
        </w:rPr>
        <w:t xml:space="preserve">  (Hint:  Use the procedure given in Example 6.6 of Curtis)</w:t>
      </w:r>
    </w:p>
    <w:p w:rsidR="0077370D" w:rsidRDefault="0077370D" w:rsidP="00B90CD4">
      <w:pPr>
        <w:spacing w:after="0" w:line="240" w:lineRule="auto"/>
        <w:jc w:val="both"/>
        <w:rPr>
          <w:sz w:val="28"/>
          <w:szCs w:val="28"/>
        </w:rPr>
      </w:pPr>
    </w:p>
    <w:p w:rsidR="00B90CD4" w:rsidRPr="00B90CD4" w:rsidRDefault="00B90CD4" w:rsidP="00650AE2">
      <w:pPr>
        <w:spacing w:after="0" w:line="240" w:lineRule="auto"/>
        <w:jc w:val="center"/>
        <w:rPr>
          <w:sz w:val="28"/>
          <w:szCs w:val="28"/>
        </w:rPr>
      </w:pPr>
    </w:p>
    <w:sectPr w:rsidR="00B90CD4" w:rsidRPr="00B9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121D"/>
    <w:multiLevelType w:val="hybridMultilevel"/>
    <w:tmpl w:val="468AAB6E"/>
    <w:lvl w:ilvl="0" w:tplc="715AEB3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82102"/>
    <w:multiLevelType w:val="hybridMultilevel"/>
    <w:tmpl w:val="3B082D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F"/>
    <w:rsid w:val="00082F76"/>
    <w:rsid w:val="00102132"/>
    <w:rsid w:val="0013228A"/>
    <w:rsid w:val="00141147"/>
    <w:rsid w:val="001D07C1"/>
    <w:rsid w:val="00256839"/>
    <w:rsid w:val="00294D20"/>
    <w:rsid w:val="003A0425"/>
    <w:rsid w:val="003A4181"/>
    <w:rsid w:val="004527B5"/>
    <w:rsid w:val="00472391"/>
    <w:rsid w:val="004B542D"/>
    <w:rsid w:val="004C6F44"/>
    <w:rsid w:val="005A2358"/>
    <w:rsid w:val="00625EDD"/>
    <w:rsid w:val="00650AE2"/>
    <w:rsid w:val="006A34D1"/>
    <w:rsid w:val="006D6FA5"/>
    <w:rsid w:val="0077370D"/>
    <w:rsid w:val="00777FC6"/>
    <w:rsid w:val="007E2496"/>
    <w:rsid w:val="007F2C81"/>
    <w:rsid w:val="008B537F"/>
    <w:rsid w:val="00947931"/>
    <w:rsid w:val="00953A73"/>
    <w:rsid w:val="009E06A2"/>
    <w:rsid w:val="00AD0DE6"/>
    <w:rsid w:val="00B0499C"/>
    <w:rsid w:val="00B90CD4"/>
    <w:rsid w:val="00C6306D"/>
    <w:rsid w:val="00C81695"/>
    <w:rsid w:val="00CA38EF"/>
    <w:rsid w:val="00CB5D1B"/>
    <w:rsid w:val="00DF0F84"/>
    <w:rsid w:val="00E71AE4"/>
    <w:rsid w:val="00EA42C3"/>
    <w:rsid w:val="00F305C4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4D4D-592F-40C3-9297-04A5EC10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pandiyan</cp:lastModifiedBy>
  <cp:revision>33</cp:revision>
  <dcterms:created xsi:type="dcterms:W3CDTF">2016-10-14T07:21:00Z</dcterms:created>
  <dcterms:modified xsi:type="dcterms:W3CDTF">2017-03-15T09:57:00Z</dcterms:modified>
</cp:coreProperties>
</file>