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A966A" w14:textId="345BE581" w:rsidR="007D1387" w:rsidRPr="00881BA3" w:rsidRDefault="002121CB" w:rsidP="007D1387">
      <w:pPr>
        <w:pStyle w:val="Ttulo1"/>
        <w:jc w:val="both"/>
      </w:pPr>
      <w:bookmarkStart w:id="0" w:name="X3c5290a54c9e1955538ee389fa216b343e67f76"/>
      <w:bookmarkStart w:id="1" w:name="Xf331f8647b4d76f12c51a3e0fe1593e8b2be8a6"/>
      <w:r w:rsidRPr="00881BA3">
        <w:t>HISTORIA DE USUARIO</w:t>
      </w:r>
      <w:r w:rsidR="00403E12" w:rsidRPr="00881BA3">
        <w:t xml:space="preserve"> DE </w:t>
      </w:r>
      <w:r w:rsidR="00A47F91" w:rsidRPr="00881BA3">
        <w:t xml:space="preserve">– </w:t>
      </w:r>
      <w:r w:rsidR="00E05568">
        <w:t>VACANTES VS UNIDADES</w:t>
      </w:r>
    </w:p>
    <w:p w14:paraId="04BAF933" w14:textId="77777777" w:rsidR="000C3B34" w:rsidRPr="00881BA3" w:rsidRDefault="00000000">
      <w:r>
        <w:pict w14:anchorId="013DD744">
          <v:rect id="_x0000_i1025" style="width:0;height:1.5pt" o:hralign="center" o:hrstd="t" o:hr="t"/>
        </w:pict>
      </w:r>
    </w:p>
    <w:p w14:paraId="0099838D" w14:textId="183052DE" w:rsidR="00C37CE9" w:rsidRPr="00881BA3" w:rsidRDefault="00000000" w:rsidP="00623941">
      <w:pPr>
        <w:spacing w:after="160" w:line="259" w:lineRule="auto"/>
        <w:rPr>
          <w:rFonts w:asciiTheme="majorHAnsi" w:eastAsiaTheme="majorEastAsia" w:hAnsiTheme="majorHAnsi" w:cstheme="majorBidi"/>
          <w:b/>
          <w:bCs/>
          <w:color w:val="156082" w:themeColor="accent1"/>
          <w:sz w:val="26"/>
          <w:szCs w:val="26"/>
        </w:rPr>
      </w:pPr>
      <w:bookmarkStart w:id="2" w:name="información-general"/>
      <w:r w:rsidRPr="00881BA3">
        <w:rPr>
          <w:rFonts w:asciiTheme="majorHAnsi" w:eastAsiaTheme="majorEastAsia" w:hAnsiTheme="majorHAnsi" w:cstheme="majorBidi"/>
          <w:b/>
          <w:bCs/>
          <w:color w:val="156082" w:themeColor="accent1"/>
          <w:sz w:val="26"/>
          <w:szCs w:val="26"/>
        </w:rPr>
        <w:t>1. Información General</w:t>
      </w:r>
    </w:p>
    <w:p w14:paraId="2F063B0E" w14:textId="11FD5C20" w:rsidR="00F757CF" w:rsidRPr="00881BA3" w:rsidRDefault="00623941" w:rsidP="00C37CE9">
      <w:pPr>
        <w:rPr>
          <w:rFonts w:ascii="Segoe UI" w:hAnsi="Segoe UI" w:cs="Segoe UI"/>
          <w:b/>
          <w:bCs/>
          <w:bdr w:val="none" w:sz="0" w:space="0" w:color="auto" w:frame="1"/>
          <w:shd w:val="clear" w:color="auto" w:fill="121212"/>
        </w:rPr>
      </w:pPr>
      <w:r w:rsidRPr="00881BA3">
        <w:rPr>
          <w:b/>
          <w:bCs/>
        </w:rPr>
        <w:t>Empresa:</w:t>
      </w:r>
      <w:r w:rsidRPr="00881BA3">
        <w:t xml:space="preserve"> Auto Express Oriente / Fletes Línea Azul</w:t>
      </w:r>
      <w:r w:rsidRPr="00881BA3">
        <w:br/>
      </w:r>
      <w:r w:rsidRPr="00881BA3">
        <w:rPr>
          <w:b/>
          <w:bCs/>
        </w:rPr>
        <w:t>Proyecto:</w:t>
      </w:r>
      <w:r w:rsidRPr="00881BA3">
        <w:t xml:space="preserve"> </w:t>
      </w:r>
      <w:r w:rsidR="00A16D6F">
        <w:t xml:space="preserve">Vacantes VS Unidades - </w:t>
      </w:r>
      <w:r w:rsidR="00A16D6F" w:rsidRPr="00A16D6F">
        <w:t>Indicador de Cobertura Operativa</w:t>
      </w:r>
      <w:r w:rsidRPr="00881BA3">
        <w:br/>
      </w:r>
      <w:r w:rsidRPr="00881BA3">
        <w:rPr>
          <w:b/>
          <w:bCs/>
        </w:rPr>
        <w:t>Fecha de levantamiento:</w:t>
      </w:r>
      <w:r w:rsidRPr="00881BA3">
        <w:t xml:space="preserve"> </w:t>
      </w:r>
      <w:r w:rsidR="00A16D6F">
        <w:t>05</w:t>
      </w:r>
      <w:r w:rsidR="00A47F91" w:rsidRPr="00881BA3">
        <w:t xml:space="preserve"> de </w:t>
      </w:r>
      <w:r w:rsidR="00A16D6F">
        <w:t>marzo</w:t>
      </w:r>
      <w:r w:rsidR="00A47F91" w:rsidRPr="00881BA3">
        <w:t xml:space="preserve"> del 2026</w:t>
      </w:r>
      <w:r w:rsidRPr="00881BA3">
        <w:br/>
      </w:r>
      <w:r w:rsidRPr="00881BA3">
        <w:rPr>
          <w:b/>
          <w:bCs/>
        </w:rPr>
        <w:t>Área solicitante:</w:t>
      </w:r>
      <w:r w:rsidR="00A47F91" w:rsidRPr="00881BA3">
        <w:t xml:space="preserve"> </w:t>
      </w:r>
      <w:r w:rsidR="0089742A" w:rsidRPr="00881BA3">
        <w:t>Negocio.</w:t>
      </w:r>
    </w:p>
    <w:p w14:paraId="2992FD10" w14:textId="650FED0F" w:rsidR="00623941" w:rsidRPr="00881BA3" w:rsidRDefault="00F757CF" w:rsidP="00C37CE9">
      <w:pPr>
        <w:rPr>
          <w:rFonts w:ascii="Segoe UI" w:hAnsi="Segoe UI" w:cs="Segoe UI"/>
          <w:b/>
          <w:bCs/>
          <w:bdr w:val="none" w:sz="0" w:space="0" w:color="auto" w:frame="1"/>
          <w:shd w:val="clear" w:color="auto" w:fill="121212"/>
        </w:rPr>
      </w:pPr>
      <w:r w:rsidRPr="00881BA3">
        <w:rPr>
          <w:b/>
          <w:bCs/>
        </w:rPr>
        <w:t>Product Owner (Negocio):</w:t>
      </w:r>
      <w:r w:rsidRPr="00881BA3">
        <w:t xml:space="preserve"> Oswaldo Ortiz</w:t>
      </w:r>
      <w:r w:rsidRPr="00881BA3">
        <w:br/>
      </w:r>
      <w:r w:rsidRPr="00881BA3">
        <w:rPr>
          <w:b/>
          <w:bCs/>
        </w:rPr>
        <w:t>Project Manager:</w:t>
      </w:r>
      <w:r w:rsidRPr="00881BA3">
        <w:t xml:space="preserve"> Emanuel Simon</w:t>
      </w:r>
    </w:p>
    <w:p w14:paraId="386EED06" w14:textId="77777777" w:rsidR="000C3B34" w:rsidRPr="00881BA3" w:rsidRDefault="00000000">
      <w:r>
        <w:pict w14:anchorId="3C77F357">
          <v:rect id="_x0000_i1026" style="width:0;height:1.5pt" o:hralign="center" o:hrstd="t" o:hr="t"/>
        </w:pict>
      </w:r>
    </w:p>
    <w:p w14:paraId="1287C4A4" w14:textId="77777777" w:rsidR="000C3B34" w:rsidRPr="00881BA3" w:rsidRDefault="00000000" w:rsidP="00C37CE9">
      <w:pPr>
        <w:spacing w:after="160" w:line="259" w:lineRule="auto"/>
        <w:rPr>
          <w:rFonts w:asciiTheme="majorHAnsi" w:eastAsiaTheme="majorEastAsia" w:hAnsiTheme="majorHAnsi" w:cstheme="majorBidi"/>
          <w:b/>
          <w:bCs/>
          <w:color w:val="156082" w:themeColor="accent1"/>
          <w:sz w:val="26"/>
          <w:szCs w:val="26"/>
        </w:rPr>
      </w:pPr>
      <w:bookmarkStart w:id="3" w:name="antecedentes"/>
      <w:bookmarkEnd w:id="2"/>
      <w:r w:rsidRPr="00881BA3">
        <w:rPr>
          <w:rFonts w:asciiTheme="majorHAnsi" w:eastAsiaTheme="majorEastAsia" w:hAnsiTheme="majorHAnsi" w:cstheme="majorBidi"/>
          <w:b/>
          <w:bCs/>
          <w:color w:val="156082" w:themeColor="accent1"/>
          <w:sz w:val="26"/>
          <w:szCs w:val="26"/>
        </w:rPr>
        <w:t>2. Antecedentes</w:t>
      </w:r>
    </w:p>
    <w:p w14:paraId="19B0918A" w14:textId="77777777" w:rsidR="00875EDE" w:rsidRPr="00875EDE" w:rsidRDefault="00875EDE" w:rsidP="00875EDE">
      <w:r w:rsidRPr="00875EDE">
        <w:t>Actualmente la organización requiere contar con una visión más clara y confiable sobre la relación existente entre la disponibilidad de unidades y la disponibilidad de operadores, así como sobre el impacto que generan las vacantes abiertas en la capacidad operativa real de la empresa.</w:t>
      </w:r>
    </w:p>
    <w:p w14:paraId="25CC2BC2" w14:textId="77777777" w:rsidR="00875EDE" w:rsidRPr="00875EDE" w:rsidRDefault="00875EDE" w:rsidP="00875EDE">
      <w:r w:rsidRPr="00875EDE">
        <w:t>Hoy en día, la información relacionada con vacantes, operadores disponibles, unidades activas y capacidad operativa se encuentra distribuida entre distintas áreas y fuentes de información, lo que dificulta tener una lectura integral del estado actual de cobertura operativa. Esta dispersión provoca que la toma de decisiones dependa en gran parte de revisiones manuales, interpretaciones parciales o consultas aisladas entre áreas.</w:t>
      </w:r>
    </w:p>
    <w:p w14:paraId="24B7760A" w14:textId="77777777" w:rsidR="00875EDE" w:rsidRPr="00875EDE" w:rsidRDefault="00875EDE" w:rsidP="00875EDE">
      <w:r w:rsidRPr="00875EDE">
        <w:t>Desde la perspectiva del negocio, esta situación limita la capacidad para responder de manera oportuna a preguntas clave como:</w:t>
      </w:r>
    </w:p>
    <w:p w14:paraId="2D3818D4" w14:textId="77777777" w:rsidR="00875EDE" w:rsidRPr="00875EDE" w:rsidRDefault="00875EDE" w:rsidP="00875EDE">
      <w:pPr>
        <w:numPr>
          <w:ilvl w:val="0"/>
          <w:numId w:val="61"/>
        </w:numPr>
      </w:pPr>
      <w:r w:rsidRPr="00875EDE">
        <w:t>cuántas unidades se encuentran disponibles para operar;</w:t>
      </w:r>
    </w:p>
    <w:p w14:paraId="5C1D4386" w14:textId="77777777" w:rsidR="00875EDE" w:rsidRPr="00875EDE" w:rsidRDefault="00875EDE" w:rsidP="00875EDE">
      <w:pPr>
        <w:numPr>
          <w:ilvl w:val="0"/>
          <w:numId w:val="61"/>
        </w:numPr>
      </w:pPr>
      <w:r w:rsidRPr="00875EDE">
        <w:t>cuántas de esas unidades cuentan con operador asignado o potencial de cobertura;</w:t>
      </w:r>
    </w:p>
    <w:p w14:paraId="69B44298" w14:textId="77777777" w:rsidR="00875EDE" w:rsidRPr="00875EDE" w:rsidRDefault="00875EDE" w:rsidP="00875EDE">
      <w:pPr>
        <w:numPr>
          <w:ilvl w:val="0"/>
          <w:numId w:val="61"/>
        </w:numPr>
      </w:pPr>
      <w:r w:rsidRPr="00875EDE">
        <w:t>cuántas vacantes activas impactan directamente la operación;</w:t>
      </w:r>
    </w:p>
    <w:p w14:paraId="436BB608" w14:textId="77777777" w:rsidR="00875EDE" w:rsidRPr="00875EDE" w:rsidRDefault="00875EDE" w:rsidP="00875EDE">
      <w:pPr>
        <w:numPr>
          <w:ilvl w:val="0"/>
          <w:numId w:val="61"/>
        </w:numPr>
      </w:pPr>
      <w:r w:rsidRPr="00875EDE">
        <w:t>si existe déficit, equilibrio o sobrecapacidad entre flota y personal operativo.</w:t>
      </w:r>
    </w:p>
    <w:p w14:paraId="16333191" w14:textId="77777777" w:rsidR="00875EDE" w:rsidRPr="00875EDE" w:rsidRDefault="00875EDE" w:rsidP="00875EDE">
      <w:r w:rsidRPr="00875EDE">
        <w:t>Adicionalmente, dentro de los objetivos estratégicos del área, se busca generar indicadores que permitan mejorar la planeación operativa, la gestión del talento y la toma de decisiones relacionadas con contratación, cobertura y aprovechamiento de activos.</w:t>
      </w:r>
    </w:p>
    <w:p w14:paraId="4501474A" w14:textId="77777777" w:rsidR="00875EDE" w:rsidRPr="00875EDE" w:rsidRDefault="00875EDE" w:rsidP="00875EDE">
      <w:r w:rsidRPr="00875EDE">
        <w:t xml:space="preserve">Por lo anterior, se identifica la necesidad de desarrollar una solución que permita relacionar de manera estructurada la información de vacantes con la flota disponible, a fin de construir un </w:t>
      </w:r>
      <w:r w:rsidRPr="00875EDE">
        <w:lastRenderedPageBreak/>
        <w:t>indicador de cobertura operativa útil para negocio, gerencia y áreas involucradas en la planeación.</w:t>
      </w:r>
    </w:p>
    <w:p w14:paraId="79CB8A48" w14:textId="77777777" w:rsidR="000C3B34" w:rsidRPr="00881BA3" w:rsidRDefault="00000000">
      <w:r>
        <w:pict w14:anchorId="60BF2DD1">
          <v:rect id="_x0000_i1027" style="width:0;height:1.5pt" o:hralign="center" o:hrstd="t" o:hr="t"/>
        </w:pict>
      </w:r>
    </w:p>
    <w:p w14:paraId="6C2E013D" w14:textId="079950EC" w:rsidR="00963AB6" w:rsidRPr="00881BA3" w:rsidRDefault="00000000" w:rsidP="00963AB6">
      <w:pPr>
        <w:spacing w:after="160" w:line="259" w:lineRule="auto"/>
        <w:rPr>
          <w:rFonts w:asciiTheme="majorHAnsi" w:eastAsiaTheme="majorEastAsia" w:hAnsiTheme="majorHAnsi" w:cstheme="majorBidi"/>
          <w:b/>
          <w:bCs/>
          <w:color w:val="156082" w:themeColor="accent1"/>
          <w:sz w:val="26"/>
          <w:szCs w:val="26"/>
        </w:rPr>
      </w:pPr>
      <w:bookmarkStart w:id="4" w:name="objetivo-del-proyecto"/>
      <w:bookmarkEnd w:id="3"/>
      <w:r w:rsidRPr="00881BA3">
        <w:rPr>
          <w:rFonts w:asciiTheme="majorHAnsi" w:eastAsiaTheme="majorEastAsia" w:hAnsiTheme="majorHAnsi" w:cstheme="majorBidi"/>
          <w:b/>
          <w:bCs/>
          <w:color w:val="156082" w:themeColor="accent1"/>
          <w:sz w:val="26"/>
          <w:szCs w:val="26"/>
        </w:rPr>
        <w:t xml:space="preserve">3. </w:t>
      </w:r>
      <w:r w:rsidR="001F731F" w:rsidRPr="00881BA3">
        <w:rPr>
          <w:rFonts w:asciiTheme="majorHAnsi" w:eastAsiaTheme="majorEastAsia" w:hAnsiTheme="majorHAnsi" w:cstheme="majorBidi"/>
          <w:b/>
          <w:bCs/>
          <w:color w:val="156082" w:themeColor="accent1"/>
          <w:sz w:val="26"/>
          <w:szCs w:val="26"/>
        </w:rPr>
        <w:t>Historia de Usuario Principal</w:t>
      </w:r>
    </w:p>
    <w:p w14:paraId="01ADCFF1" w14:textId="07AA4D5E" w:rsidR="00875EDE" w:rsidRPr="009A70C7" w:rsidRDefault="00875EDE" w:rsidP="00963AB6">
      <w:pPr>
        <w:spacing w:after="160" w:line="259" w:lineRule="auto"/>
      </w:pPr>
      <w:r w:rsidRPr="00875EDE">
        <w:rPr>
          <w:b/>
          <w:bCs/>
          <w:sz w:val="28"/>
          <w:szCs w:val="28"/>
        </w:rPr>
        <w:t>Como</w:t>
      </w:r>
      <w:r w:rsidRPr="00875EDE">
        <w:rPr>
          <w:sz w:val="28"/>
          <w:szCs w:val="28"/>
        </w:rPr>
        <w:t xml:space="preserve"> </w:t>
      </w:r>
      <w:r w:rsidRPr="00875EDE">
        <w:t>responsable del área de Negocio y de la planeación operativa,</w:t>
      </w:r>
      <w:r w:rsidRPr="00875EDE">
        <w:br/>
      </w:r>
      <w:r w:rsidRPr="00875EDE">
        <w:rPr>
          <w:b/>
          <w:bCs/>
          <w:sz w:val="28"/>
          <w:szCs w:val="28"/>
        </w:rPr>
        <w:t>quiero</w:t>
      </w:r>
      <w:r w:rsidRPr="00875EDE">
        <w:rPr>
          <w:sz w:val="28"/>
          <w:szCs w:val="28"/>
        </w:rPr>
        <w:t xml:space="preserve"> </w:t>
      </w:r>
      <w:r w:rsidRPr="00875EDE">
        <w:t>contar con un indicador que relacione las vacantes de operadores con la flota disponible para operación,</w:t>
      </w:r>
      <w:r w:rsidRPr="00875EDE">
        <w:br/>
      </w:r>
      <w:r w:rsidRPr="00875EDE">
        <w:rPr>
          <w:b/>
          <w:bCs/>
          <w:sz w:val="28"/>
          <w:szCs w:val="28"/>
        </w:rPr>
        <w:t>para</w:t>
      </w:r>
      <w:r w:rsidRPr="00875EDE">
        <w:rPr>
          <w:sz w:val="28"/>
          <w:szCs w:val="28"/>
        </w:rPr>
        <w:t xml:space="preserve"> </w:t>
      </w:r>
      <w:r w:rsidRPr="00875EDE">
        <w:t>conocer el nivel real de cobertura operativa y tomar decisiones informadas sobre contratación, asignación, priorización y uso eficiente de los recursos disponibles.</w:t>
      </w:r>
    </w:p>
    <w:p w14:paraId="5D7B028E" w14:textId="56B7509A" w:rsidR="000C3B34" w:rsidRPr="00881BA3" w:rsidRDefault="00000000">
      <w:r>
        <w:pict w14:anchorId="214D8EBC">
          <v:rect id="_x0000_i1028" style="width:0;height:1.5pt" o:hralign="center" o:hrstd="t" o:hr="t"/>
        </w:pict>
      </w:r>
    </w:p>
    <w:p w14:paraId="531DE3BE" w14:textId="4F2B44D7" w:rsidR="000C3B34" w:rsidRPr="00881BA3" w:rsidRDefault="00000000">
      <w:pPr>
        <w:pStyle w:val="Ttulo3"/>
        <w:rPr>
          <w:rFonts w:asciiTheme="majorHAnsi" w:hAnsiTheme="majorHAnsi"/>
          <w:b/>
          <w:bCs/>
          <w:color w:val="156082" w:themeColor="accent1"/>
          <w:sz w:val="26"/>
          <w:szCs w:val="26"/>
        </w:rPr>
      </w:pPr>
      <w:bookmarkStart w:id="5" w:name="alcance-del-proyecto"/>
      <w:bookmarkEnd w:id="4"/>
      <w:r w:rsidRPr="00881BA3">
        <w:rPr>
          <w:rFonts w:asciiTheme="majorHAnsi" w:hAnsiTheme="majorHAnsi"/>
          <w:b/>
          <w:bCs/>
          <w:color w:val="156082" w:themeColor="accent1"/>
          <w:sz w:val="26"/>
          <w:szCs w:val="26"/>
        </w:rPr>
        <w:t xml:space="preserve">4. </w:t>
      </w:r>
      <w:r w:rsidR="001F731F" w:rsidRPr="00881BA3">
        <w:rPr>
          <w:rFonts w:asciiTheme="majorHAnsi" w:hAnsiTheme="majorHAnsi"/>
          <w:b/>
          <w:bCs/>
          <w:color w:val="156082" w:themeColor="accent1"/>
          <w:sz w:val="26"/>
          <w:szCs w:val="26"/>
        </w:rPr>
        <w:t>Objetivo</w:t>
      </w:r>
    </w:p>
    <w:p w14:paraId="07F3D12D" w14:textId="77777777" w:rsidR="00875EDE" w:rsidRPr="00875EDE" w:rsidRDefault="00875EDE" w:rsidP="00875EDE">
      <w:bookmarkStart w:id="6" w:name="fuera-de-alcance"/>
      <w:r w:rsidRPr="00875EDE">
        <w:t>Diseñar e implementar una solución que permita visualizar, concentrar y analizar la relación entre las vacantes existentes y la cantidad de unidades que requieren cobertura operativa, con el propósito de generar un indicador claro, entendible y útil para la toma de decisiones del negocio.</w:t>
      </w:r>
    </w:p>
    <w:p w14:paraId="2FAC6006" w14:textId="77777777" w:rsidR="00875EDE" w:rsidRPr="00875EDE" w:rsidRDefault="00875EDE" w:rsidP="00875EDE">
      <w:r w:rsidRPr="00875EDE">
        <w:t>Este indicador deberá permitir:</w:t>
      </w:r>
    </w:p>
    <w:p w14:paraId="02EC9442" w14:textId="77777777" w:rsidR="00875EDE" w:rsidRPr="00875EDE" w:rsidRDefault="00875EDE" w:rsidP="00875EDE">
      <w:pPr>
        <w:numPr>
          <w:ilvl w:val="0"/>
          <w:numId w:val="62"/>
        </w:numPr>
      </w:pPr>
      <w:r w:rsidRPr="00875EDE">
        <w:t>identificar si la capacidad humana disponible es suficiente para soportar la operación esperada;</w:t>
      </w:r>
    </w:p>
    <w:p w14:paraId="490065CB" w14:textId="77777777" w:rsidR="00875EDE" w:rsidRPr="00875EDE" w:rsidRDefault="00875EDE" w:rsidP="00875EDE">
      <w:pPr>
        <w:numPr>
          <w:ilvl w:val="0"/>
          <w:numId w:val="62"/>
        </w:numPr>
      </w:pPr>
      <w:r w:rsidRPr="00875EDE">
        <w:t>medir el impacto operativo de las vacantes activas;</w:t>
      </w:r>
    </w:p>
    <w:p w14:paraId="2F4DF0F8" w14:textId="77777777" w:rsidR="00875EDE" w:rsidRPr="00875EDE" w:rsidRDefault="00875EDE" w:rsidP="00875EDE">
      <w:pPr>
        <w:numPr>
          <w:ilvl w:val="0"/>
          <w:numId w:val="62"/>
        </w:numPr>
      </w:pPr>
      <w:r w:rsidRPr="00875EDE">
        <w:t>detectar oportunamente brechas entre unidades disponibles y operadores requeridos;</w:t>
      </w:r>
    </w:p>
    <w:p w14:paraId="5C222ADD" w14:textId="77777777" w:rsidR="00875EDE" w:rsidRPr="00875EDE" w:rsidRDefault="00875EDE" w:rsidP="00875EDE">
      <w:pPr>
        <w:numPr>
          <w:ilvl w:val="0"/>
          <w:numId w:val="62"/>
        </w:numPr>
      </w:pPr>
      <w:r w:rsidRPr="00875EDE">
        <w:t>apoyar la priorización de contratación o reasignación de recursos;</w:t>
      </w:r>
    </w:p>
    <w:p w14:paraId="25D35925" w14:textId="77777777" w:rsidR="00875EDE" w:rsidRPr="00875EDE" w:rsidRDefault="00875EDE" w:rsidP="00875EDE">
      <w:pPr>
        <w:numPr>
          <w:ilvl w:val="0"/>
          <w:numId w:val="62"/>
        </w:numPr>
      </w:pPr>
      <w:r w:rsidRPr="00875EDE">
        <w:t>brindar visibilidad ejecutiva sobre la cobertura operativa actual.</w:t>
      </w:r>
    </w:p>
    <w:p w14:paraId="7C783041" w14:textId="6FD21426" w:rsidR="000C3B34" w:rsidRPr="00881BA3" w:rsidRDefault="00000000">
      <w:r>
        <w:pict w14:anchorId="376973AD">
          <v:rect id="_x0000_i1029" style="width:0;height:1.5pt" o:hralign="center" o:hrstd="t" o:hr="t"/>
        </w:pict>
      </w:r>
    </w:p>
    <w:p w14:paraId="29E0323D" w14:textId="4204A923" w:rsidR="000C3B34" w:rsidRPr="00881BA3" w:rsidRDefault="00000000" w:rsidP="00FE0C37">
      <w:pPr>
        <w:spacing w:after="160" w:line="259" w:lineRule="auto"/>
        <w:rPr>
          <w:rFonts w:asciiTheme="majorHAnsi" w:eastAsiaTheme="majorEastAsia" w:hAnsiTheme="majorHAnsi" w:cstheme="majorBidi"/>
          <w:b/>
          <w:bCs/>
          <w:color w:val="156082" w:themeColor="accent1"/>
          <w:sz w:val="26"/>
          <w:szCs w:val="26"/>
        </w:rPr>
      </w:pPr>
      <w:bookmarkStart w:id="7" w:name="estrategia-técnica-propuesta"/>
      <w:bookmarkEnd w:id="5"/>
      <w:bookmarkEnd w:id="6"/>
      <w:r w:rsidRPr="00881BA3">
        <w:rPr>
          <w:rFonts w:asciiTheme="majorHAnsi" w:eastAsiaTheme="majorEastAsia" w:hAnsiTheme="majorHAnsi" w:cstheme="majorBidi"/>
          <w:b/>
          <w:bCs/>
          <w:color w:val="156082" w:themeColor="accent1"/>
          <w:sz w:val="26"/>
          <w:szCs w:val="26"/>
        </w:rPr>
        <w:t xml:space="preserve">5. </w:t>
      </w:r>
      <w:r w:rsidR="001F731F" w:rsidRPr="00881BA3">
        <w:rPr>
          <w:rFonts w:asciiTheme="majorHAnsi" w:eastAsiaTheme="majorEastAsia" w:hAnsiTheme="majorHAnsi" w:cstheme="majorBidi"/>
          <w:b/>
          <w:bCs/>
          <w:color w:val="156082" w:themeColor="accent1"/>
          <w:sz w:val="26"/>
          <w:szCs w:val="26"/>
        </w:rPr>
        <w:t>Alcance de la Historia</w:t>
      </w:r>
    </w:p>
    <w:p w14:paraId="398BC445" w14:textId="77777777" w:rsidR="00875EDE" w:rsidRPr="00875EDE" w:rsidRDefault="00875EDE" w:rsidP="00875EDE">
      <w:r w:rsidRPr="00875EDE">
        <w:t>Esta historia contempla el análisis, definición y desarrollo de la lógica necesaria para relacionar información de vacantes con información de flota operativa, considerando únicamente el enfoque de cobertura entre recursos humanos y unidades disponibles.</w:t>
      </w:r>
    </w:p>
    <w:p w14:paraId="41F550FA" w14:textId="77777777" w:rsidR="00875EDE" w:rsidRPr="00875EDE" w:rsidRDefault="00875EDE" w:rsidP="00875EDE">
      <w:pPr>
        <w:rPr>
          <w:b/>
          <w:bCs/>
        </w:rPr>
      </w:pPr>
      <w:r w:rsidRPr="00875EDE">
        <w:rPr>
          <w:b/>
          <w:bCs/>
        </w:rPr>
        <w:t>Incluye:</w:t>
      </w:r>
    </w:p>
    <w:p w14:paraId="7B304C5A" w14:textId="77777777" w:rsidR="00875EDE" w:rsidRPr="00875EDE" w:rsidRDefault="00875EDE" w:rsidP="00875EDE">
      <w:pPr>
        <w:numPr>
          <w:ilvl w:val="0"/>
          <w:numId w:val="63"/>
        </w:numPr>
      </w:pPr>
      <w:r w:rsidRPr="00875EDE">
        <w:t>identificación de las fuentes de información necesarias para vacantes;</w:t>
      </w:r>
    </w:p>
    <w:p w14:paraId="06EE081E" w14:textId="77777777" w:rsidR="00875EDE" w:rsidRPr="00875EDE" w:rsidRDefault="00875EDE" w:rsidP="00875EDE">
      <w:pPr>
        <w:numPr>
          <w:ilvl w:val="0"/>
          <w:numId w:val="63"/>
        </w:numPr>
      </w:pPr>
      <w:r w:rsidRPr="00875EDE">
        <w:lastRenderedPageBreak/>
        <w:t>identificación de las fuentes de información necesarias para flota operativa;</w:t>
      </w:r>
    </w:p>
    <w:p w14:paraId="74BA1E44" w14:textId="77777777" w:rsidR="00875EDE" w:rsidRPr="00875EDE" w:rsidRDefault="00875EDE" w:rsidP="00875EDE">
      <w:pPr>
        <w:numPr>
          <w:ilvl w:val="0"/>
          <w:numId w:val="63"/>
        </w:numPr>
      </w:pPr>
      <w:r w:rsidRPr="00875EDE">
        <w:t>definición de reglas de negocio para determinar qué unidades entran en el indicador;</w:t>
      </w:r>
    </w:p>
    <w:p w14:paraId="23281FD3" w14:textId="77777777" w:rsidR="00875EDE" w:rsidRPr="00875EDE" w:rsidRDefault="00875EDE" w:rsidP="00875EDE">
      <w:pPr>
        <w:numPr>
          <w:ilvl w:val="0"/>
          <w:numId w:val="63"/>
        </w:numPr>
      </w:pPr>
      <w:r w:rsidRPr="00875EDE">
        <w:t>definición de reglas de negocio para determinar qué vacantes deben considerarse;</w:t>
      </w:r>
    </w:p>
    <w:p w14:paraId="5559A4B6" w14:textId="77777777" w:rsidR="00875EDE" w:rsidRPr="00875EDE" w:rsidRDefault="00875EDE" w:rsidP="00875EDE">
      <w:pPr>
        <w:numPr>
          <w:ilvl w:val="0"/>
          <w:numId w:val="63"/>
        </w:numPr>
      </w:pPr>
      <w:r w:rsidRPr="00875EDE">
        <w:t>generación de un indicador de cobertura operativa;</w:t>
      </w:r>
    </w:p>
    <w:p w14:paraId="6B10C9C2" w14:textId="77777777" w:rsidR="00875EDE" w:rsidRPr="00875EDE" w:rsidRDefault="00875EDE" w:rsidP="00875EDE">
      <w:pPr>
        <w:numPr>
          <w:ilvl w:val="0"/>
          <w:numId w:val="63"/>
        </w:numPr>
      </w:pPr>
      <w:r w:rsidRPr="00875EDE">
        <w:t>presentación consolidada de la información para consulta y análisis;</w:t>
      </w:r>
    </w:p>
    <w:p w14:paraId="7E190A0A" w14:textId="77777777" w:rsidR="00875EDE" w:rsidRPr="00875EDE" w:rsidRDefault="00875EDE" w:rsidP="00875EDE">
      <w:pPr>
        <w:numPr>
          <w:ilvl w:val="0"/>
          <w:numId w:val="63"/>
        </w:numPr>
      </w:pPr>
      <w:r w:rsidRPr="00875EDE">
        <w:t>validación funcional con las áreas responsables del proceso.</w:t>
      </w:r>
    </w:p>
    <w:p w14:paraId="21A3177F" w14:textId="77777777" w:rsidR="00875EDE" w:rsidRPr="00875EDE" w:rsidRDefault="00875EDE" w:rsidP="00875EDE">
      <w:pPr>
        <w:rPr>
          <w:b/>
          <w:bCs/>
        </w:rPr>
      </w:pPr>
      <w:r w:rsidRPr="00875EDE">
        <w:rPr>
          <w:b/>
          <w:bCs/>
        </w:rPr>
        <w:t>No incluye:</w:t>
      </w:r>
    </w:p>
    <w:p w14:paraId="08C93257" w14:textId="77777777" w:rsidR="00875EDE" w:rsidRPr="00875EDE" w:rsidRDefault="00875EDE" w:rsidP="00875EDE">
      <w:pPr>
        <w:numPr>
          <w:ilvl w:val="0"/>
          <w:numId w:val="64"/>
        </w:numPr>
      </w:pPr>
      <w:r w:rsidRPr="00875EDE">
        <w:t>control detallado del inventario físico de unidades;</w:t>
      </w:r>
    </w:p>
    <w:p w14:paraId="299CE6DC" w14:textId="77777777" w:rsidR="00875EDE" w:rsidRPr="00875EDE" w:rsidRDefault="00875EDE" w:rsidP="00875EDE">
      <w:pPr>
        <w:numPr>
          <w:ilvl w:val="0"/>
          <w:numId w:val="64"/>
        </w:numPr>
      </w:pPr>
      <w:r w:rsidRPr="00875EDE">
        <w:t>rastreo en tiempo real de unidades;</w:t>
      </w:r>
    </w:p>
    <w:p w14:paraId="035142B1" w14:textId="77777777" w:rsidR="00875EDE" w:rsidRPr="00875EDE" w:rsidRDefault="00875EDE" w:rsidP="00875EDE">
      <w:pPr>
        <w:numPr>
          <w:ilvl w:val="0"/>
          <w:numId w:val="64"/>
        </w:numPr>
      </w:pPr>
      <w:r w:rsidRPr="00875EDE">
        <w:t>control de ubicación por patio, cliente o ruta;</w:t>
      </w:r>
    </w:p>
    <w:p w14:paraId="5F783FB0" w14:textId="77777777" w:rsidR="00875EDE" w:rsidRPr="00875EDE" w:rsidRDefault="00875EDE" w:rsidP="00875EDE">
      <w:pPr>
        <w:numPr>
          <w:ilvl w:val="0"/>
          <w:numId w:val="64"/>
        </w:numPr>
      </w:pPr>
      <w:r w:rsidRPr="00875EDE">
        <w:t>administración del proceso de reclutamiento;</w:t>
      </w:r>
    </w:p>
    <w:p w14:paraId="23303668" w14:textId="77777777" w:rsidR="00875EDE" w:rsidRPr="00875EDE" w:rsidRDefault="00875EDE" w:rsidP="00875EDE">
      <w:pPr>
        <w:numPr>
          <w:ilvl w:val="0"/>
          <w:numId w:val="64"/>
        </w:numPr>
      </w:pPr>
      <w:r w:rsidRPr="00875EDE">
        <w:t>asignación individual de operadores por unidad;</w:t>
      </w:r>
    </w:p>
    <w:p w14:paraId="0BA3FABE" w14:textId="77777777" w:rsidR="00875EDE" w:rsidRPr="00875EDE" w:rsidRDefault="00875EDE" w:rsidP="00875EDE">
      <w:pPr>
        <w:numPr>
          <w:ilvl w:val="0"/>
          <w:numId w:val="64"/>
        </w:numPr>
      </w:pPr>
      <w:r w:rsidRPr="00875EDE">
        <w:t>automatización de movimientos operativos derivados del indicador.</w:t>
      </w:r>
    </w:p>
    <w:p w14:paraId="4B131081" w14:textId="77777777" w:rsidR="000C3B34" w:rsidRPr="00881BA3" w:rsidRDefault="00000000">
      <w:r>
        <w:pict w14:anchorId="63878239">
          <v:rect id="_x0000_i1030" style="width:0;height:1.5pt" o:hralign="center" o:hrstd="t" o:hr="t"/>
        </w:pict>
      </w:r>
    </w:p>
    <w:p w14:paraId="1E390805" w14:textId="19D699F1" w:rsidR="001F731F" w:rsidRPr="00881BA3" w:rsidRDefault="00000000" w:rsidP="00FE0C37">
      <w:pPr>
        <w:spacing w:after="160" w:line="259" w:lineRule="auto"/>
        <w:rPr>
          <w:rFonts w:asciiTheme="majorHAnsi" w:eastAsiaTheme="majorEastAsia" w:hAnsiTheme="majorHAnsi" w:cstheme="majorBidi"/>
          <w:b/>
          <w:bCs/>
          <w:color w:val="156082" w:themeColor="accent1"/>
          <w:sz w:val="26"/>
          <w:szCs w:val="26"/>
        </w:rPr>
      </w:pPr>
      <w:bookmarkStart w:id="8" w:name="tablas-de-base-de-datos-involucradas"/>
      <w:bookmarkEnd w:id="7"/>
      <w:r w:rsidRPr="00881BA3">
        <w:rPr>
          <w:rFonts w:asciiTheme="majorHAnsi" w:eastAsiaTheme="majorEastAsia" w:hAnsiTheme="majorHAnsi" w:cstheme="majorBidi"/>
          <w:b/>
          <w:bCs/>
          <w:color w:val="156082" w:themeColor="accent1"/>
          <w:sz w:val="26"/>
          <w:szCs w:val="26"/>
        </w:rPr>
        <w:t xml:space="preserve">6. </w:t>
      </w:r>
      <w:r w:rsidR="001F731F" w:rsidRPr="00881BA3">
        <w:rPr>
          <w:rFonts w:asciiTheme="majorHAnsi" w:eastAsiaTheme="majorEastAsia" w:hAnsiTheme="majorHAnsi" w:cstheme="majorBidi"/>
          <w:b/>
          <w:bCs/>
          <w:color w:val="156082" w:themeColor="accent1"/>
          <w:sz w:val="26"/>
          <w:szCs w:val="26"/>
        </w:rPr>
        <w:t>Enfoque por Fases</w:t>
      </w:r>
    </w:p>
    <w:p w14:paraId="547EE444" w14:textId="77777777" w:rsidR="00875EDE" w:rsidRPr="00875EDE" w:rsidRDefault="00875EDE" w:rsidP="00875EDE">
      <w:pPr>
        <w:spacing w:after="160" w:line="259" w:lineRule="auto"/>
        <w:rPr>
          <w:b/>
          <w:bCs/>
        </w:rPr>
      </w:pPr>
      <w:r w:rsidRPr="00875EDE">
        <w:rPr>
          <w:b/>
          <w:bCs/>
        </w:rPr>
        <w:t>Fase 1. Levantamiento y entendimiento del proceso</w:t>
      </w:r>
    </w:p>
    <w:p w14:paraId="2307F925" w14:textId="77777777" w:rsidR="00875EDE" w:rsidRPr="00875EDE" w:rsidRDefault="00875EDE" w:rsidP="00875EDE">
      <w:pPr>
        <w:spacing w:after="160" w:line="259" w:lineRule="auto"/>
      </w:pPr>
      <w:r w:rsidRPr="00875EDE">
        <w:t>En esta fase se deberá profundizar en el entendimiento del proceso actual con las áreas involucradas, principalmente Negocio, Recursos Humanos, Gerencia General y responsables operativos, para confirmar el significado de cada dato, la utilidad esperada del indicador y la periodicidad con la que deberá analizarse.</w:t>
      </w:r>
    </w:p>
    <w:p w14:paraId="03EDBE43" w14:textId="77777777" w:rsidR="00875EDE" w:rsidRPr="00875EDE" w:rsidRDefault="00875EDE" w:rsidP="00875EDE">
      <w:pPr>
        <w:spacing w:after="160" w:line="259" w:lineRule="auto"/>
        <w:rPr>
          <w:b/>
          <w:bCs/>
        </w:rPr>
      </w:pPr>
      <w:r w:rsidRPr="00875EDE">
        <w:rPr>
          <w:b/>
          <w:bCs/>
        </w:rPr>
        <w:t>Fase 2. Identificación y validación de fuentes</w:t>
      </w:r>
    </w:p>
    <w:p w14:paraId="52A8BE32" w14:textId="77777777" w:rsidR="00875EDE" w:rsidRPr="00875EDE" w:rsidRDefault="00875EDE" w:rsidP="00875EDE">
      <w:pPr>
        <w:spacing w:after="160" w:line="259" w:lineRule="auto"/>
      </w:pPr>
      <w:r w:rsidRPr="00875EDE">
        <w:t>Se identificarán las fuentes de información necesarias para obtener:</w:t>
      </w:r>
    </w:p>
    <w:p w14:paraId="2E95644C" w14:textId="77777777" w:rsidR="00875EDE" w:rsidRPr="00875EDE" w:rsidRDefault="00875EDE" w:rsidP="00875EDE">
      <w:pPr>
        <w:numPr>
          <w:ilvl w:val="0"/>
          <w:numId w:val="65"/>
        </w:numPr>
        <w:spacing w:after="160" w:line="259" w:lineRule="auto"/>
      </w:pPr>
      <w:r w:rsidRPr="00875EDE">
        <w:t>vacantes activas o vacantes relevantes para operación;</w:t>
      </w:r>
    </w:p>
    <w:p w14:paraId="3435932C" w14:textId="77777777" w:rsidR="00875EDE" w:rsidRPr="00875EDE" w:rsidRDefault="00875EDE" w:rsidP="00875EDE">
      <w:pPr>
        <w:numPr>
          <w:ilvl w:val="0"/>
          <w:numId w:val="65"/>
        </w:numPr>
        <w:spacing w:after="160" w:line="259" w:lineRule="auto"/>
      </w:pPr>
      <w:r w:rsidRPr="00875EDE">
        <w:t>unidades consideradas dentro de la flota disponible;</w:t>
      </w:r>
    </w:p>
    <w:p w14:paraId="065BD77B" w14:textId="77777777" w:rsidR="00875EDE" w:rsidRPr="00875EDE" w:rsidRDefault="00875EDE" w:rsidP="00875EDE">
      <w:pPr>
        <w:numPr>
          <w:ilvl w:val="0"/>
          <w:numId w:val="65"/>
        </w:numPr>
        <w:spacing w:after="160" w:line="259" w:lineRule="auto"/>
      </w:pPr>
      <w:r w:rsidRPr="00875EDE">
        <w:t>criterios que permitan excluir unidades que no deban formar parte del indicador.</w:t>
      </w:r>
    </w:p>
    <w:p w14:paraId="0C662AA8" w14:textId="77777777" w:rsidR="00875EDE" w:rsidRPr="00875EDE" w:rsidRDefault="00875EDE" w:rsidP="00875EDE">
      <w:pPr>
        <w:spacing w:after="160" w:line="259" w:lineRule="auto"/>
      </w:pPr>
      <w:r w:rsidRPr="00875EDE">
        <w:lastRenderedPageBreak/>
        <w:t>En esta fase también se deberán validar la confiabilidad, periodicidad y consistencia de las fuentes.</w:t>
      </w:r>
    </w:p>
    <w:p w14:paraId="467F1F83" w14:textId="77777777" w:rsidR="00875EDE" w:rsidRPr="00875EDE" w:rsidRDefault="00875EDE" w:rsidP="00875EDE">
      <w:pPr>
        <w:spacing w:after="160" w:line="259" w:lineRule="auto"/>
        <w:rPr>
          <w:b/>
          <w:bCs/>
        </w:rPr>
      </w:pPr>
      <w:r w:rsidRPr="00875EDE">
        <w:rPr>
          <w:b/>
          <w:bCs/>
        </w:rPr>
        <w:t>Fase 3. Definición de reglas de negocio</w:t>
      </w:r>
    </w:p>
    <w:p w14:paraId="15E8AC13" w14:textId="77777777" w:rsidR="00875EDE" w:rsidRPr="00875EDE" w:rsidRDefault="00875EDE" w:rsidP="00875EDE">
      <w:pPr>
        <w:spacing w:after="160" w:line="259" w:lineRule="auto"/>
      </w:pPr>
      <w:r w:rsidRPr="00875EDE">
        <w:t>Se documentarán y validarán las reglas necesarias para calcular el indicador. Estas reglas deberán establecer claramente:</w:t>
      </w:r>
    </w:p>
    <w:p w14:paraId="1A1E1352" w14:textId="77777777" w:rsidR="00875EDE" w:rsidRPr="00875EDE" w:rsidRDefault="00875EDE" w:rsidP="00875EDE">
      <w:pPr>
        <w:numPr>
          <w:ilvl w:val="0"/>
          <w:numId w:val="66"/>
        </w:numPr>
        <w:spacing w:after="160" w:line="259" w:lineRule="auto"/>
      </w:pPr>
      <w:r w:rsidRPr="00875EDE">
        <w:t>qué se considera una vacante operativa;</w:t>
      </w:r>
    </w:p>
    <w:p w14:paraId="0ED7F008" w14:textId="77777777" w:rsidR="00875EDE" w:rsidRPr="00875EDE" w:rsidRDefault="00875EDE" w:rsidP="00875EDE">
      <w:pPr>
        <w:numPr>
          <w:ilvl w:val="0"/>
          <w:numId w:val="66"/>
        </w:numPr>
        <w:spacing w:after="160" w:line="259" w:lineRule="auto"/>
      </w:pPr>
      <w:r w:rsidRPr="00875EDE">
        <w:t>qué se considera una unidad disponible para operación;</w:t>
      </w:r>
    </w:p>
    <w:p w14:paraId="0D202213" w14:textId="77777777" w:rsidR="00875EDE" w:rsidRPr="00875EDE" w:rsidRDefault="00875EDE" w:rsidP="00875EDE">
      <w:pPr>
        <w:numPr>
          <w:ilvl w:val="0"/>
          <w:numId w:val="66"/>
        </w:numPr>
        <w:spacing w:after="160" w:line="259" w:lineRule="auto"/>
      </w:pPr>
      <w:r w:rsidRPr="00875EDE">
        <w:t>qué estatus o escenarios excluyen una unidad del conteo;</w:t>
      </w:r>
    </w:p>
    <w:p w14:paraId="24C7EB1A" w14:textId="77777777" w:rsidR="00875EDE" w:rsidRPr="00875EDE" w:rsidRDefault="00875EDE" w:rsidP="00875EDE">
      <w:pPr>
        <w:numPr>
          <w:ilvl w:val="0"/>
          <w:numId w:val="66"/>
        </w:numPr>
        <w:spacing w:after="160" w:line="259" w:lineRule="auto"/>
      </w:pPr>
      <w:r w:rsidRPr="00875EDE">
        <w:t>cómo se presentará la cobertura.</w:t>
      </w:r>
    </w:p>
    <w:p w14:paraId="249300C4" w14:textId="77777777" w:rsidR="00875EDE" w:rsidRPr="00875EDE" w:rsidRDefault="00875EDE" w:rsidP="00875EDE">
      <w:pPr>
        <w:spacing w:after="160" w:line="259" w:lineRule="auto"/>
        <w:rPr>
          <w:b/>
          <w:bCs/>
        </w:rPr>
      </w:pPr>
      <w:r w:rsidRPr="00875EDE">
        <w:rPr>
          <w:b/>
          <w:bCs/>
        </w:rPr>
        <w:t>Fase 4. Construcción del indicador</w:t>
      </w:r>
    </w:p>
    <w:p w14:paraId="36911B26" w14:textId="77777777" w:rsidR="00875EDE" w:rsidRPr="00875EDE" w:rsidRDefault="00875EDE" w:rsidP="00875EDE">
      <w:pPr>
        <w:spacing w:after="160" w:line="259" w:lineRule="auto"/>
      </w:pPr>
      <w:r w:rsidRPr="00875EDE">
        <w:t>Se desarrollará la lógica de cálculo, consolidación y visualización del indicador con base en las definiciones aprobadas por negocio y áreas operativas.</w:t>
      </w:r>
    </w:p>
    <w:p w14:paraId="77CB4044" w14:textId="77777777" w:rsidR="00875EDE" w:rsidRPr="00875EDE" w:rsidRDefault="00875EDE" w:rsidP="00875EDE">
      <w:pPr>
        <w:spacing w:after="160" w:line="259" w:lineRule="auto"/>
        <w:rPr>
          <w:b/>
          <w:bCs/>
        </w:rPr>
      </w:pPr>
      <w:r w:rsidRPr="00875EDE">
        <w:rPr>
          <w:b/>
          <w:bCs/>
        </w:rPr>
        <w:t>Fase 5. Validación funcional</w:t>
      </w:r>
    </w:p>
    <w:p w14:paraId="7A2BA956" w14:textId="59173AFA" w:rsidR="00875EDE" w:rsidRPr="009A70C7" w:rsidRDefault="00875EDE" w:rsidP="00875EDE">
      <w:pPr>
        <w:spacing w:after="160" w:line="259" w:lineRule="auto"/>
      </w:pPr>
      <w:r w:rsidRPr="00875EDE">
        <w:t>Se revisarán los resultados con las áreas usuarias para confirmar que el indicador represente correctamente la realidad operativa y permita tomar decisiones con base en información entendible y accionable.</w:t>
      </w:r>
    </w:p>
    <w:p w14:paraId="512D4B2D" w14:textId="77777777" w:rsidR="000C3B34" w:rsidRPr="00881BA3" w:rsidRDefault="00000000">
      <w:bookmarkStart w:id="9" w:name="ejemplo-conceptual-de-implementación"/>
      <w:bookmarkEnd w:id="8"/>
      <w:r>
        <w:pict w14:anchorId="4D1872CA">
          <v:rect id="_x0000_i1031" style="width:0;height:1.5pt" o:hralign="center" o:hrstd="t" o:hr="t"/>
        </w:pict>
      </w:r>
    </w:p>
    <w:p w14:paraId="51A9DD7B" w14:textId="04D49FE9" w:rsidR="000C3B34" w:rsidRDefault="00875EDE" w:rsidP="00FE0C37">
      <w:pPr>
        <w:spacing w:after="160" w:line="259" w:lineRule="auto"/>
        <w:rPr>
          <w:rFonts w:asciiTheme="majorHAnsi" w:eastAsiaTheme="majorEastAsia" w:hAnsiTheme="majorHAnsi" w:cstheme="majorBidi"/>
          <w:b/>
          <w:bCs/>
          <w:color w:val="156082" w:themeColor="accent1"/>
          <w:sz w:val="26"/>
          <w:szCs w:val="26"/>
        </w:rPr>
      </w:pPr>
      <w:bookmarkStart w:id="10" w:name="ajustes-requeridos-en-scp-laravel"/>
      <w:bookmarkEnd w:id="9"/>
      <w:r>
        <w:rPr>
          <w:rFonts w:asciiTheme="majorHAnsi" w:eastAsiaTheme="majorEastAsia" w:hAnsiTheme="majorHAnsi" w:cstheme="majorBidi"/>
          <w:b/>
          <w:bCs/>
          <w:color w:val="156082" w:themeColor="accent1"/>
          <w:sz w:val="26"/>
          <w:szCs w:val="26"/>
        </w:rPr>
        <w:t>7</w:t>
      </w:r>
      <w:r w:rsidRPr="00881BA3">
        <w:rPr>
          <w:rFonts w:asciiTheme="majorHAnsi" w:eastAsiaTheme="majorEastAsia" w:hAnsiTheme="majorHAnsi" w:cstheme="majorBidi"/>
          <w:b/>
          <w:bCs/>
          <w:color w:val="156082" w:themeColor="accent1"/>
          <w:sz w:val="26"/>
          <w:szCs w:val="26"/>
        </w:rPr>
        <w:t xml:space="preserve">. </w:t>
      </w:r>
      <w:r w:rsidRPr="00875EDE">
        <w:rPr>
          <w:rFonts w:asciiTheme="majorHAnsi" w:eastAsiaTheme="majorEastAsia" w:hAnsiTheme="majorHAnsi" w:cstheme="majorBidi"/>
          <w:b/>
          <w:bCs/>
          <w:color w:val="156082" w:themeColor="accent1"/>
          <w:sz w:val="26"/>
          <w:szCs w:val="26"/>
        </w:rPr>
        <w:t>Reglas de Negocio Iniciales</w:t>
      </w:r>
    </w:p>
    <w:p w14:paraId="18BD2551" w14:textId="77777777" w:rsidR="00875EDE" w:rsidRPr="00875EDE" w:rsidRDefault="00875EDE" w:rsidP="00875EDE">
      <w:r w:rsidRPr="00875EDE">
        <w:t>Las siguientes reglas son preliminares y deberán validarse en sesiones posteriores con las áreas correspondientes:</w:t>
      </w:r>
    </w:p>
    <w:p w14:paraId="2B4D4A87" w14:textId="77777777" w:rsidR="00875EDE" w:rsidRPr="00875EDE" w:rsidRDefault="00875EDE" w:rsidP="00875EDE">
      <w:pPr>
        <w:numPr>
          <w:ilvl w:val="0"/>
          <w:numId w:val="67"/>
        </w:numPr>
      </w:pPr>
      <w:r w:rsidRPr="00875EDE">
        <w:t>El indicador deberá relacionar vacantes operativas contra unidades disponibles para servicio.</w:t>
      </w:r>
    </w:p>
    <w:p w14:paraId="4F30D610" w14:textId="77777777" w:rsidR="00875EDE" w:rsidRPr="00875EDE" w:rsidRDefault="00875EDE" w:rsidP="00875EDE">
      <w:pPr>
        <w:numPr>
          <w:ilvl w:val="0"/>
          <w:numId w:val="67"/>
        </w:numPr>
      </w:pPr>
      <w:r w:rsidRPr="00875EDE">
        <w:t>No todas las unidades existentes necesariamente deberán entrar en el cálculo; sólo aquellas que formen parte de la flota considerada operativa o disponible.</w:t>
      </w:r>
    </w:p>
    <w:p w14:paraId="1F91066C" w14:textId="77777777" w:rsidR="00875EDE" w:rsidRPr="00875EDE" w:rsidRDefault="00875EDE" w:rsidP="00875EDE">
      <w:pPr>
        <w:numPr>
          <w:ilvl w:val="0"/>
          <w:numId w:val="67"/>
        </w:numPr>
      </w:pPr>
      <w:r w:rsidRPr="00875EDE">
        <w:t>La definición exacta de “vacante” deberá ser confirmada con Recursos Humanos, ya que puede existir diferencia entre vacante autorizada, vacante publicada y vacante crítica.</w:t>
      </w:r>
    </w:p>
    <w:p w14:paraId="19B01236" w14:textId="77777777" w:rsidR="00875EDE" w:rsidRPr="00875EDE" w:rsidRDefault="00875EDE" w:rsidP="00875EDE">
      <w:pPr>
        <w:numPr>
          <w:ilvl w:val="0"/>
          <w:numId w:val="67"/>
        </w:numPr>
      </w:pPr>
      <w:r w:rsidRPr="00875EDE">
        <w:t>La solución deberá permitir distinguir si existe:</w:t>
      </w:r>
    </w:p>
    <w:p w14:paraId="12B76535" w14:textId="77777777" w:rsidR="00875EDE" w:rsidRPr="00875EDE" w:rsidRDefault="00875EDE" w:rsidP="00875EDE">
      <w:pPr>
        <w:numPr>
          <w:ilvl w:val="1"/>
          <w:numId w:val="67"/>
        </w:numPr>
      </w:pPr>
      <w:r w:rsidRPr="00875EDE">
        <w:t>cobertura suficiente;</w:t>
      </w:r>
    </w:p>
    <w:p w14:paraId="20B24F96" w14:textId="77777777" w:rsidR="00875EDE" w:rsidRPr="00875EDE" w:rsidRDefault="00875EDE" w:rsidP="00875EDE">
      <w:pPr>
        <w:numPr>
          <w:ilvl w:val="1"/>
          <w:numId w:val="67"/>
        </w:numPr>
      </w:pPr>
      <w:r w:rsidRPr="00875EDE">
        <w:t>cobertura limitada;</w:t>
      </w:r>
    </w:p>
    <w:p w14:paraId="73A40335" w14:textId="77777777" w:rsidR="00875EDE" w:rsidRPr="00875EDE" w:rsidRDefault="00875EDE" w:rsidP="00875EDE">
      <w:pPr>
        <w:numPr>
          <w:ilvl w:val="1"/>
          <w:numId w:val="67"/>
        </w:numPr>
      </w:pPr>
      <w:r w:rsidRPr="00875EDE">
        <w:lastRenderedPageBreak/>
        <w:t>déficit de operadores respecto a unidades;</w:t>
      </w:r>
    </w:p>
    <w:p w14:paraId="761C00A9" w14:textId="77777777" w:rsidR="00875EDE" w:rsidRPr="00875EDE" w:rsidRDefault="00875EDE" w:rsidP="00875EDE">
      <w:pPr>
        <w:numPr>
          <w:ilvl w:val="1"/>
          <w:numId w:val="67"/>
        </w:numPr>
      </w:pPr>
      <w:r w:rsidRPr="00875EDE">
        <w:t>ociosidad potencial de unidades por falta de personal.</w:t>
      </w:r>
    </w:p>
    <w:p w14:paraId="2B524FB4" w14:textId="77777777" w:rsidR="00875EDE" w:rsidRPr="00875EDE" w:rsidRDefault="00875EDE" w:rsidP="00875EDE">
      <w:pPr>
        <w:numPr>
          <w:ilvl w:val="0"/>
          <w:numId w:val="67"/>
        </w:numPr>
      </w:pPr>
      <w:r w:rsidRPr="00875EDE">
        <w:t>El indicador deberá construirse con criterios entendibles para usuarios de negocio, evitando interpretaciones técnicas complejas.</w:t>
      </w:r>
    </w:p>
    <w:p w14:paraId="0FC86D0F" w14:textId="77777777" w:rsidR="00875EDE" w:rsidRPr="00875EDE" w:rsidRDefault="00875EDE" w:rsidP="00875EDE">
      <w:pPr>
        <w:numPr>
          <w:ilvl w:val="0"/>
          <w:numId w:val="67"/>
        </w:numPr>
      </w:pPr>
      <w:r w:rsidRPr="00875EDE">
        <w:t>La información base deberá validarse con las áreas responsables antes de considerarse definitiva para el cálculo.</w:t>
      </w:r>
    </w:p>
    <w:p w14:paraId="170C8290" w14:textId="77777777" w:rsidR="00875EDE" w:rsidRDefault="00875EDE" w:rsidP="00875EDE">
      <w:pPr>
        <w:numPr>
          <w:ilvl w:val="0"/>
          <w:numId w:val="67"/>
        </w:numPr>
      </w:pPr>
      <w:r w:rsidRPr="00875EDE">
        <w:t>Cualquier excepción o caso especial deberá documentarse para evitar interpretaciones distintas entre áreas.</w:t>
      </w:r>
    </w:p>
    <w:p w14:paraId="329086D7" w14:textId="77777777" w:rsidR="00A7428B" w:rsidRDefault="00A7428B" w:rsidP="00A7428B">
      <w:pPr>
        <w:numPr>
          <w:ilvl w:val="0"/>
          <w:numId w:val="67"/>
        </w:numPr>
      </w:pPr>
      <w:r>
        <w:t>La solución deberá permitir que una misma unidad pueda tener asignados hasta dos operadores cuando la operación así lo requiera.</w:t>
      </w:r>
    </w:p>
    <w:p w14:paraId="6D91AE85" w14:textId="77777777" w:rsidR="00A7428B" w:rsidRDefault="00A7428B" w:rsidP="00A7428B">
      <w:pPr>
        <w:ind w:left="720"/>
      </w:pPr>
      <w:r>
        <w:t>Para efectos del indicador, la unidad se considerará cubierta si cuenta al menos con un operador asignado; la asignación de un segundo operador no incrementa el número de unidades cubiertas, pero sí deberá quedar registrada para análisis operativo.</w:t>
      </w:r>
    </w:p>
    <w:p w14:paraId="08E126A8" w14:textId="77777777" w:rsidR="00A7428B" w:rsidRDefault="00A7428B" w:rsidP="00A7428B">
      <w:pPr>
        <w:ind w:left="720"/>
      </w:pPr>
      <w:r>
        <w:t>Esta funcionalidad establece una nueva regla de validación para asegurar que las asignaciones sean consistentes y no generen duplicidades o conflictos.</w:t>
      </w:r>
    </w:p>
    <w:p w14:paraId="14436DD3" w14:textId="4F9DDF9F" w:rsidR="00A7428B" w:rsidRPr="00875EDE" w:rsidRDefault="00A7428B" w:rsidP="00A7428B">
      <w:pPr>
        <w:ind w:left="720"/>
      </w:pPr>
      <w:r>
        <w:t xml:space="preserve">La vinculación dual tendrá fines de planeación y análisis únicamente y </w:t>
      </w:r>
      <w:r w:rsidRPr="00A7428B">
        <w:rPr>
          <w:b/>
          <w:bCs/>
        </w:rPr>
        <w:t>no deberá afectar ni modificar las cartas de instrucción ni la asignación operativa formal de viajes.</w:t>
      </w:r>
    </w:p>
    <w:p w14:paraId="36DBEBCA" w14:textId="77777777" w:rsidR="00875EDE" w:rsidRPr="00881BA3" w:rsidRDefault="00000000" w:rsidP="00875EDE">
      <w:r>
        <w:pict w14:anchorId="10C6D4BC">
          <v:rect id="_x0000_i1032" style="width:0;height:1.5pt" o:hralign="center" o:hrstd="t" o:hr="t"/>
        </w:pict>
      </w:r>
    </w:p>
    <w:p w14:paraId="2DF186C4" w14:textId="77777777" w:rsidR="00875EDE" w:rsidRDefault="00875EDE" w:rsidP="00875EDE">
      <w:pPr>
        <w:spacing w:after="160" w:line="259" w:lineRule="auto"/>
        <w:rPr>
          <w:rFonts w:asciiTheme="majorHAnsi" w:eastAsiaTheme="majorEastAsia" w:hAnsiTheme="majorHAnsi" w:cstheme="majorBidi"/>
          <w:b/>
          <w:bCs/>
          <w:color w:val="156082" w:themeColor="accent1"/>
          <w:sz w:val="26"/>
          <w:szCs w:val="26"/>
        </w:rPr>
      </w:pPr>
      <w:r w:rsidRPr="00881BA3">
        <w:rPr>
          <w:rFonts w:asciiTheme="majorHAnsi" w:eastAsiaTheme="majorEastAsia" w:hAnsiTheme="majorHAnsi" w:cstheme="majorBidi"/>
          <w:b/>
          <w:bCs/>
          <w:color w:val="156082" w:themeColor="accent1"/>
          <w:sz w:val="26"/>
          <w:szCs w:val="26"/>
        </w:rPr>
        <w:t>8. Módulos Impactados</w:t>
      </w:r>
    </w:p>
    <w:p w14:paraId="11E600D6" w14:textId="77777777" w:rsidR="00875EDE" w:rsidRPr="00875EDE" w:rsidRDefault="00875EDE" w:rsidP="00875EDE">
      <w:pPr>
        <w:spacing w:after="160" w:line="259" w:lineRule="auto"/>
      </w:pPr>
      <w:r w:rsidRPr="00875EDE">
        <w:t>Esta historia puede impactar o requerir información de los siguientes frentes:</w:t>
      </w:r>
    </w:p>
    <w:p w14:paraId="3FBAD5C7" w14:textId="77777777" w:rsidR="00875EDE" w:rsidRPr="00875EDE" w:rsidRDefault="00875EDE" w:rsidP="00875EDE">
      <w:pPr>
        <w:numPr>
          <w:ilvl w:val="0"/>
          <w:numId w:val="68"/>
        </w:numPr>
        <w:spacing w:after="160" w:line="259" w:lineRule="auto"/>
      </w:pPr>
      <w:r w:rsidRPr="00875EDE">
        <w:t>módulo o fuente de vacantes / Recursos Humanos;</w:t>
      </w:r>
    </w:p>
    <w:p w14:paraId="7DA80A6E" w14:textId="77777777" w:rsidR="00875EDE" w:rsidRPr="00875EDE" w:rsidRDefault="00875EDE" w:rsidP="00875EDE">
      <w:pPr>
        <w:numPr>
          <w:ilvl w:val="0"/>
          <w:numId w:val="68"/>
        </w:numPr>
        <w:spacing w:after="160" w:line="259" w:lineRule="auto"/>
      </w:pPr>
      <w:r w:rsidRPr="00875EDE">
        <w:t>información de flota o catálogo de unidades;</w:t>
      </w:r>
    </w:p>
    <w:p w14:paraId="32A527AE" w14:textId="77777777" w:rsidR="00875EDE" w:rsidRPr="00875EDE" w:rsidRDefault="00875EDE" w:rsidP="00875EDE">
      <w:pPr>
        <w:numPr>
          <w:ilvl w:val="0"/>
          <w:numId w:val="68"/>
        </w:numPr>
        <w:spacing w:after="160" w:line="259" w:lineRule="auto"/>
      </w:pPr>
      <w:r w:rsidRPr="00875EDE">
        <w:t>reportes ejecutivos o dashboards de negocio;</w:t>
      </w:r>
    </w:p>
    <w:p w14:paraId="04F012A9" w14:textId="77777777" w:rsidR="00875EDE" w:rsidRPr="00875EDE" w:rsidRDefault="00875EDE" w:rsidP="00875EDE">
      <w:pPr>
        <w:numPr>
          <w:ilvl w:val="0"/>
          <w:numId w:val="68"/>
        </w:numPr>
        <w:spacing w:after="160" w:line="259" w:lineRule="auto"/>
      </w:pPr>
      <w:r w:rsidRPr="00875EDE">
        <w:t>modelos de análisis o repositorios intermedios donde se concentre la información;</w:t>
      </w:r>
    </w:p>
    <w:p w14:paraId="090885B6" w14:textId="77777777" w:rsidR="00875EDE" w:rsidRPr="00875EDE" w:rsidRDefault="00875EDE" w:rsidP="00875EDE">
      <w:pPr>
        <w:numPr>
          <w:ilvl w:val="0"/>
          <w:numId w:val="68"/>
        </w:numPr>
        <w:spacing w:after="160" w:line="259" w:lineRule="auto"/>
      </w:pPr>
      <w:r w:rsidRPr="00875EDE">
        <w:t>posibles desarrollos existentes relacionados con operación y disponibilidad.</w:t>
      </w:r>
    </w:p>
    <w:p w14:paraId="6C2AF40B" w14:textId="349AA895" w:rsidR="00875EDE" w:rsidRPr="009A70C7" w:rsidRDefault="00875EDE" w:rsidP="00875EDE">
      <w:pPr>
        <w:spacing w:after="160" w:line="259" w:lineRule="auto"/>
      </w:pPr>
      <w:r w:rsidRPr="00875EDE">
        <w:t>El detalle técnico de impacto deberá determinarse con el equipo de desarrollo durante la etapa de análisis funcional y técnico.</w:t>
      </w:r>
    </w:p>
    <w:p w14:paraId="5D561554" w14:textId="6453B858" w:rsidR="000C3B34" w:rsidRPr="00881BA3" w:rsidRDefault="00000000">
      <w:r>
        <w:pict w14:anchorId="3DF89104">
          <v:rect id="_x0000_i1033" style="width:0;height:1.5pt" o:hralign="center" o:hrstd="t" o:hr="t"/>
        </w:pict>
      </w:r>
    </w:p>
    <w:p w14:paraId="0ED937EB" w14:textId="291BCF20" w:rsidR="001F731F" w:rsidRPr="00881BA3" w:rsidRDefault="00000000" w:rsidP="001F731F">
      <w:pPr>
        <w:spacing w:after="160" w:line="259" w:lineRule="auto"/>
        <w:rPr>
          <w:rFonts w:asciiTheme="majorHAnsi" w:eastAsiaTheme="majorEastAsia" w:hAnsiTheme="majorHAnsi" w:cstheme="majorBidi"/>
          <w:b/>
          <w:bCs/>
          <w:color w:val="156082" w:themeColor="accent1"/>
          <w:sz w:val="26"/>
          <w:szCs w:val="26"/>
        </w:rPr>
      </w:pPr>
      <w:bookmarkStart w:id="11" w:name="consideraciones-administrativas"/>
      <w:bookmarkEnd w:id="10"/>
      <w:r w:rsidRPr="00881BA3">
        <w:rPr>
          <w:rFonts w:asciiTheme="majorHAnsi" w:eastAsiaTheme="majorEastAsia" w:hAnsiTheme="majorHAnsi" w:cstheme="majorBidi"/>
          <w:b/>
          <w:bCs/>
          <w:color w:val="156082" w:themeColor="accent1"/>
          <w:sz w:val="26"/>
          <w:szCs w:val="26"/>
        </w:rPr>
        <w:t xml:space="preserve">9. </w:t>
      </w:r>
      <w:r w:rsidR="001F731F" w:rsidRPr="00881BA3">
        <w:rPr>
          <w:rFonts w:asciiTheme="majorHAnsi" w:eastAsiaTheme="majorEastAsia" w:hAnsiTheme="majorHAnsi" w:cstheme="majorBidi"/>
          <w:b/>
          <w:bCs/>
          <w:color w:val="156082" w:themeColor="accent1"/>
          <w:sz w:val="26"/>
          <w:szCs w:val="26"/>
        </w:rPr>
        <w:t>Consideraciones Importantes</w:t>
      </w:r>
    </w:p>
    <w:p w14:paraId="6226280B" w14:textId="77777777" w:rsidR="00875EDE" w:rsidRPr="00875EDE" w:rsidRDefault="00875EDE" w:rsidP="00875EDE">
      <w:pPr>
        <w:numPr>
          <w:ilvl w:val="0"/>
          <w:numId w:val="69"/>
        </w:numPr>
      </w:pPr>
      <w:r w:rsidRPr="00875EDE">
        <w:lastRenderedPageBreak/>
        <w:t>Esta historia corresponde únicamente al análisis entre vacantes y flota.</w:t>
      </w:r>
    </w:p>
    <w:p w14:paraId="6CDB07D5" w14:textId="77777777" w:rsidR="00875EDE" w:rsidRPr="00875EDE" w:rsidRDefault="00875EDE" w:rsidP="00875EDE">
      <w:pPr>
        <w:numPr>
          <w:ilvl w:val="0"/>
          <w:numId w:val="69"/>
        </w:numPr>
      </w:pPr>
      <w:r w:rsidRPr="00875EDE">
        <w:t>No debe mezclarse con la historia de control de activos, ya que aunque están relacionadas en visión estratégica, atienden necesidades distintas.</w:t>
      </w:r>
    </w:p>
    <w:p w14:paraId="29C86E6A" w14:textId="77777777" w:rsidR="00875EDE" w:rsidRPr="00875EDE" w:rsidRDefault="00875EDE" w:rsidP="00875EDE">
      <w:pPr>
        <w:numPr>
          <w:ilvl w:val="0"/>
          <w:numId w:val="69"/>
        </w:numPr>
      </w:pPr>
      <w:r w:rsidRPr="00875EDE">
        <w:t>Para completar la definición funcional será indispensable una validación con Recursos Humanos y con responsables operativos.</w:t>
      </w:r>
    </w:p>
    <w:p w14:paraId="0940B20D" w14:textId="77777777" w:rsidR="00875EDE" w:rsidRPr="00875EDE" w:rsidRDefault="00875EDE" w:rsidP="00875EDE">
      <w:pPr>
        <w:numPr>
          <w:ilvl w:val="0"/>
          <w:numId w:val="69"/>
        </w:numPr>
      </w:pPr>
      <w:r w:rsidRPr="00875EDE">
        <w:t>El resultado debe estar orientado a negocio, por lo que la presentación del indicador deberá ser clara, ejecutiva y útil para toma de decisiones.</w:t>
      </w:r>
    </w:p>
    <w:p w14:paraId="11FB5286" w14:textId="77777777" w:rsidR="00875EDE" w:rsidRPr="00875EDE" w:rsidRDefault="00875EDE" w:rsidP="00875EDE">
      <w:pPr>
        <w:numPr>
          <w:ilvl w:val="0"/>
          <w:numId w:val="69"/>
        </w:numPr>
      </w:pPr>
      <w:r w:rsidRPr="00875EDE">
        <w:t>En caso de detectarse escenarios adicionales o dependencias relevantes, deberán documentarse como hallazgos o requerimientos complementarios, evitando extender indebidamente el alcance inicial.</w:t>
      </w:r>
    </w:p>
    <w:p w14:paraId="61C9132F" w14:textId="672134BD" w:rsidR="00C434CC" w:rsidRPr="00881BA3" w:rsidRDefault="00000000" w:rsidP="00F757CF">
      <w:r>
        <w:pict w14:anchorId="03E013EF">
          <v:rect id="_x0000_i1034" style="width:0;height:1.5pt" o:hralign="center" o:hrstd="t" o:hr="t"/>
        </w:pict>
      </w:r>
      <w:bookmarkEnd w:id="0"/>
      <w:bookmarkEnd w:id="1"/>
      <w:bookmarkEnd w:id="11"/>
    </w:p>
    <w:p w14:paraId="340E2FFA" w14:textId="34F4017F" w:rsidR="00F757CF" w:rsidRPr="00F757CF" w:rsidRDefault="00F757CF" w:rsidP="00F757CF">
      <w:pPr>
        <w:spacing w:after="160" w:line="259" w:lineRule="auto"/>
        <w:rPr>
          <w:rFonts w:asciiTheme="majorHAnsi" w:eastAsiaTheme="majorEastAsia" w:hAnsiTheme="majorHAnsi" w:cstheme="majorBidi"/>
          <w:b/>
          <w:bCs/>
          <w:color w:val="156082" w:themeColor="accent1"/>
          <w:sz w:val="26"/>
          <w:szCs w:val="26"/>
        </w:rPr>
      </w:pPr>
      <w:r w:rsidRPr="00F757CF">
        <w:rPr>
          <w:rFonts w:asciiTheme="majorHAnsi" w:eastAsiaTheme="majorEastAsia" w:hAnsiTheme="majorHAnsi" w:cstheme="majorBidi"/>
          <w:b/>
          <w:bCs/>
          <w:color w:val="156082" w:themeColor="accent1"/>
          <w:sz w:val="26"/>
          <w:szCs w:val="26"/>
        </w:rPr>
        <w:t>10. Criterios de Aceptación</w:t>
      </w:r>
    </w:p>
    <w:p w14:paraId="21A811EA" w14:textId="77777777" w:rsidR="00875EDE" w:rsidRPr="00875EDE" w:rsidRDefault="00875EDE" w:rsidP="00875EDE">
      <w:pPr>
        <w:spacing w:after="160" w:line="259" w:lineRule="auto"/>
      </w:pPr>
      <w:r w:rsidRPr="00875EDE">
        <w:t>La historia se considerará aceptada cuando se cumplan al menos los siguientes criterios:</w:t>
      </w:r>
    </w:p>
    <w:p w14:paraId="47C40CD5" w14:textId="77777777" w:rsidR="00875EDE" w:rsidRPr="00875EDE" w:rsidRDefault="00875EDE" w:rsidP="00875EDE">
      <w:pPr>
        <w:numPr>
          <w:ilvl w:val="0"/>
          <w:numId w:val="70"/>
        </w:numPr>
        <w:spacing w:after="160" w:line="259" w:lineRule="auto"/>
      </w:pPr>
      <w:r w:rsidRPr="00875EDE">
        <w:t>Se encuentren identificadas y documentadas las fuentes de información necesarias para vacantes y flota.</w:t>
      </w:r>
    </w:p>
    <w:p w14:paraId="472D2484" w14:textId="77777777" w:rsidR="00875EDE" w:rsidRPr="00875EDE" w:rsidRDefault="00875EDE" w:rsidP="00875EDE">
      <w:pPr>
        <w:numPr>
          <w:ilvl w:val="0"/>
          <w:numId w:val="70"/>
        </w:numPr>
        <w:spacing w:after="160" w:line="259" w:lineRule="auto"/>
      </w:pPr>
      <w:r w:rsidRPr="00875EDE">
        <w:t>Se definan y documenten las reglas de negocio que determinan qué vacantes y qué unidades participan en el indicador.</w:t>
      </w:r>
    </w:p>
    <w:p w14:paraId="29DEAD54" w14:textId="77777777" w:rsidR="00875EDE" w:rsidRPr="00875EDE" w:rsidRDefault="00875EDE" w:rsidP="00875EDE">
      <w:pPr>
        <w:numPr>
          <w:ilvl w:val="0"/>
          <w:numId w:val="70"/>
        </w:numPr>
        <w:spacing w:after="160" w:line="259" w:lineRule="auto"/>
      </w:pPr>
      <w:r w:rsidRPr="00875EDE">
        <w:t>El indicador muestre de manera clara la relación entre vacantes y flota.</w:t>
      </w:r>
    </w:p>
    <w:p w14:paraId="5EAC2D08" w14:textId="77777777" w:rsidR="00875EDE" w:rsidRPr="00875EDE" w:rsidRDefault="00875EDE" w:rsidP="00875EDE">
      <w:pPr>
        <w:numPr>
          <w:ilvl w:val="0"/>
          <w:numId w:val="70"/>
        </w:numPr>
        <w:spacing w:after="160" w:line="259" w:lineRule="auto"/>
      </w:pPr>
      <w:r w:rsidRPr="00875EDE">
        <w:t>La información presentada sea entendible para el área de negocio.</w:t>
      </w:r>
    </w:p>
    <w:p w14:paraId="0E486A9E" w14:textId="77777777" w:rsidR="00875EDE" w:rsidRPr="00875EDE" w:rsidRDefault="00875EDE" w:rsidP="00875EDE">
      <w:pPr>
        <w:numPr>
          <w:ilvl w:val="0"/>
          <w:numId w:val="70"/>
        </w:numPr>
        <w:spacing w:after="160" w:line="259" w:lineRule="auto"/>
      </w:pPr>
      <w:r w:rsidRPr="00875EDE">
        <w:t>Se pueda distinguir si existe déficit, equilibrio o excedente de cobertura operativa.</w:t>
      </w:r>
    </w:p>
    <w:p w14:paraId="0B2EF9A8" w14:textId="77777777" w:rsidR="00875EDE" w:rsidRPr="00875EDE" w:rsidRDefault="00875EDE" w:rsidP="00875EDE">
      <w:pPr>
        <w:numPr>
          <w:ilvl w:val="0"/>
          <w:numId w:val="70"/>
        </w:numPr>
        <w:spacing w:after="160" w:line="259" w:lineRule="auto"/>
      </w:pPr>
      <w:r w:rsidRPr="00875EDE">
        <w:t>El resultado sea validado por las áreas involucradas.</w:t>
      </w:r>
    </w:p>
    <w:p w14:paraId="242C55BC" w14:textId="77777777" w:rsidR="00875EDE" w:rsidRPr="00875EDE" w:rsidRDefault="00875EDE" w:rsidP="00875EDE">
      <w:pPr>
        <w:numPr>
          <w:ilvl w:val="0"/>
          <w:numId w:val="70"/>
        </w:numPr>
        <w:spacing w:after="160" w:line="259" w:lineRule="auto"/>
      </w:pPr>
      <w:r w:rsidRPr="00875EDE">
        <w:t>La solución no genere confusión con otros proyectos o indicadores ya existentes.</w:t>
      </w:r>
    </w:p>
    <w:p w14:paraId="39423924" w14:textId="300C7223" w:rsidR="00F757CF" w:rsidRPr="00F757CF" w:rsidRDefault="00000000" w:rsidP="00F757CF">
      <w:pPr>
        <w:spacing w:after="160" w:line="259" w:lineRule="auto"/>
      </w:pPr>
      <w:r>
        <w:pict w14:anchorId="4F733BE2">
          <v:rect id="_x0000_i1035" style="width:0;height:1.5pt" o:hralign="center" o:hrstd="t" o:hr="t" fillcolor="#a0a0a0" stroked="f"/>
        </w:pict>
      </w:r>
    </w:p>
    <w:p w14:paraId="24D735C8" w14:textId="25D58D25" w:rsidR="00F757CF" w:rsidRPr="00F757CF" w:rsidRDefault="00F757CF" w:rsidP="00F757CF">
      <w:pPr>
        <w:spacing w:after="160" w:line="259" w:lineRule="auto"/>
        <w:rPr>
          <w:rFonts w:asciiTheme="majorHAnsi" w:eastAsiaTheme="majorEastAsia" w:hAnsiTheme="majorHAnsi" w:cstheme="majorBidi"/>
          <w:b/>
          <w:bCs/>
          <w:color w:val="156082" w:themeColor="accent1"/>
          <w:sz w:val="26"/>
          <w:szCs w:val="26"/>
        </w:rPr>
      </w:pPr>
      <w:r w:rsidRPr="00F757CF">
        <w:rPr>
          <w:rFonts w:asciiTheme="majorHAnsi" w:eastAsiaTheme="majorEastAsia" w:hAnsiTheme="majorHAnsi" w:cstheme="majorBidi"/>
          <w:b/>
          <w:bCs/>
          <w:color w:val="156082" w:themeColor="accent1"/>
          <w:sz w:val="26"/>
          <w:szCs w:val="26"/>
        </w:rPr>
        <w:t>11. Riesgos y Mitigación</w:t>
      </w:r>
    </w:p>
    <w:p w14:paraId="0BD1387C" w14:textId="77777777" w:rsidR="00875EDE" w:rsidRPr="00875EDE" w:rsidRDefault="00875EDE" w:rsidP="00875EDE">
      <w:pPr>
        <w:spacing w:after="160" w:line="259" w:lineRule="auto"/>
      </w:pPr>
      <w:r w:rsidRPr="00875EDE">
        <w:rPr>
          <w:b/>
          <w:bCs/>
        </w:rPr>
        <w:t>Riesgo 1: Falta de definición homogénea de vacante.</w:t>
      </w:r>
      <w:r w:rsidRPr="00875EDE">
        <w:br/>
        <w:t>Mitigación: validar con Recursos Humanos el criterio exacto a utilizar antes de construir el cálculo.</w:t>
      </w:r>
    </w:p>
    <w:p w14:paraId="74709727" w14:textId="77777777" w:rsidR="00875EDE" w:rsidRPr="00875EDE" w:rsidRDefault="00875EDE" w:rsidP="00875EDE">
      <w:pPr>
        <w:spacing w:after="160" w:line="259" w:lineRule="auto"/>
      </w:pPr>
      <w:r w:rsidRPr="00875EDE">
        <w:rPr>
          <w:b/>
          <w:bCs/>
        </w:rPr>
        <w:t>Riesgo 2: Inconsistencia entre las fuentes de flota disponible.</w:t>
      </w:r>
      <w:r w:rsidRPr="00875EDE">
        <w:br/>
        <w:t>Mitigación: realizar validación cruzada con áreas responsables y documentar la fuente oficial.</w:t>
      </w:r>
    </w:p>
    <w:p w14:paraId="1E63B685" w14:textId="77777777" w:rsidR="00875EDE" w:rsidRPr="00875EDE" w:rsidRDefault="00875EDE" w:rsidP="00875EDE">
      <w:pPr>
        <w:spacing w:after="160" w:line="259" w:lineRule="auto"/>
      </w:pPr>
      <w:r w:rsidRPr="00875EDE">
        <w:rPr>
          <w:b/>
          <w:bCs/>
        </w:rPr>
        <w:lastRenderedPageBreak/>
        <w:t>Riesgo 3: Ampliación no controlada del alcance.</w:t>
      </w:r>
      <w:r w:rsidRPr="00875EDE">
        <w:br/>
        <w:t>Mitigación: mantener esta historia enfocada exclusivamente en vacantes vs flota.</w:t>
      </w:r>
    </w:p>
    <w:p w14:paraId="725DCFD3" w14:textId="77777777" w:rsidR="00875EDE" w:rsidRPr="00875EDE" w:rsidRDefault="00875EDE" w:rsidP="00875EDE">
      <w:pPr>
        <w:spacing w:after="160" w:line="259" w:lineRule="auto"/>
      </w:pPr>
      <w:r w:rsidRPr="00875EDE">
        <w:rPr>
          <w:b/>
          <w:bCs/>
        </w:rPr>
        <w:t>Riesgo 4: Interpretación distinta entre áreas sobre el uso del indicador.</w:t>
      </w:r>
      <w:r w:rsidRPr="00875EDE">
        <w:br/>
        <w:t>Mitigación: revisar prototipo o resultado con negocio y operación antes del cierre.</w:t>
      </w:r>
    </w:p>
    <w:p w14:paraId="4ECC5808" w14:textId="78C086D3" w:rsidR="00875EDE" w:rsidRDefault="00875EDE" w:rsidP="00F757CF">
      <w:pPr>
        <w:spacing w:after="160" w:line="259" w:lineRule="auto"/>
      </w:pPr>
      <w:r w:rsidRPr="00875EDE">
        <w:rPr>
          <w:b/>
          <w:bCs/>
        </w:rPr>
        <w:t>Riesgo 5: Dependencia de información manual o no actualizada.</w:t>
      </w:r>
      <w:r w:rsidRPr="00875EDE">
        <w:br/>
        <w:t>Mitigación: identificar desde el inicio la periodicidad real de actualización y su impacto en la confiabilidad del indicador.</w:t>
      </w:r>
    </w:p>
    <w:p w14:paraId="33396AA9" w14:textId="1C7BA742" w:rsidR="00F757CF" w:rsidRPr="00F757CF" w:rsidRDefault="00000000" w:rsidP="00F757CF">
      <w:pPr>
        <w:spacing w:after="160" w:line="259" w:lineRule="auto"/>
      </w:pPr>
      <w:r>
        <w:pict w14:anchorId="12CD2BE4">
          <v:rect id="_x0000_i1036" style="width:0;height:1.5pt" o:hralign="center" o:hrstd="t" o:hr="t" fillcolor="#a0a0a0" stroked="f"/>
        </w:pict>
      </w:r>
    </w:p>
    <w:p w14:paraId="3CBD9B14" w14:textId="77777777" w:rsidR="00F757CF" w:rsidRPr="00F757CF" w:rsidRDefault="00F757CF" w:rsidP="00F757CF">
      <w:pPr>
        <w:spacing w:after="160" w:line="259" w:lineRule="auto"/>
        <w:rPr>
          <w:rFonts w:asciiTheme="majorHAnsi" w:eastAsiaTheme="majorEastAsia" w:hAnsiTheme="majorHAnsi" w:cstheme="majorBidi"/>
          <w:b/>
          <w:bCs/>
          <w:color w:val="156082" w:themeColor="accent1"/>
          <w:sz w:val="26"/>
          <w:szCs w:val="26"/>
        </w:rPr>
      </w:pPr>
      <w:r w:rsidRPr="00F757CF">
        <w:rPr>
          <w:rFonts w:asciiTheme="majorHAnsi" w:eastAsiaTheme="majorEastAsia" w:hAnsiTheme="majorHAnsi" w:cstheme="majorBidi"/>
          <w:b/>
          <w:bCs/>
          <w:color w:val="156082" w:themeColor="accent1"/>
          <w:sz w:val="26"/>
          <w:szCs w:val="26"/>
        </w:rPr>
        <w:t>12. Definition of Done (DoD)</w:t>
      </w:r>
    </w:p>
    <w:p w14:paraId="46F169D6" w14:textId="77777777" w:rsidR="00875EDE" w:rsidRPr="00875EDE" w:rsidRDefault="00875EDE" w:rsidP="00875EDE">
      <w:pPr>
        <w:spacing w:after="160" w:line="259" w:lineRule="auto"/>
      </w:pPr>
      <w:r w:rsidRPr="00875EDE">
        <w:t>La historia se considerará terminada cuando:</w:t>
      </w:r>
    </w:p>
    <w:p w14:paraId="3676021F" w14:textId="77777777" w:rsidR="00875EDE" w:rsidRPr="00875EDE" w:rsidRDefault="00875EDE" w:rsidP="00875EDE">
      <w:pPr>
        <w:numPr>
          <w:ilvl w:val="0"/>
          <w:numId w:val="71"/>
        </w:numPr>
        <w:spacing w:after="160" w:line="259" w:lineRule="auto"/>
      </w:pPr>
      <w:r w:rsidRPr="00875EDE">
        <w:t>exista un documento funcional completo y validado;</w:t>
      </w:r>
    </w:p>
    <w:p w14:paraId="683C2EC2" w14:textId="77777777" w:rsidR="00875EDE" w:rsidRPr="00875EDE" w:rsidRDefault="00875EDE" w:rsidP="00875EDE">
      <w:pPr>
        <w:numPr>
          <w:ilvl w:val="0"/>
          <w:numId w:val="71"/>
        </w:numPr>
        <w:spacing w:after="160" w:line="259" w:lineRule="auto"/>
      </w:pPr>
      <w:r w:rsidRPr="00875EDE">
        <w:t>se encuentren definidas y aprobadas las reglas de negocio;</w:t>
      </w:r>
    </w:p>
    <w:p w14:paraId="67DABDF6" w14:textId="77777777" w:rsidR="00875EDE" w:rsidRPr="00875EDE" w:rsidRDefault="00875EDE" w:rsidP="00875EDE">
      <w:pPr>
        <w:numPr>
          <w:ilvl w:val="0"/>
          <w:numId w:val="71"/>
        </w:numPr>
        <w:spacing w:after="160" w:line="259" w:lineRule="auto"/>
      </w:pPr>
      <w:r w:rsidRPr="00875EDE">
        <w:t>se haya identificado el origen de los datos necesarios;</w:t>
      </w:r>
    </w:p>
    <w:p w14:paraId="4DB67F60" w14:textId="77777777" w:rsidR="00875EDE" w:rsidRPr="00875EDE" w:rsidRDefault="00875EDE" w:rsidP="00875EDE">
      <w:pPr>
        <w:numPr>
          <w:ilvl w:val="0"/>
          <w:numId w:val="71"/>
        </w:numPr>
        <w:spacing w:after="160" w:line="259" w:lineRule="auto"/>
      </w:pPr>
      <w:r w:rsidRPr="00875EDE">
        <w:t>se implemente la lógica acordada;</w:t>
      </w:r>
    </w:p>
    <w:p w14:paraId="6D416D20" w14:textId="77777777" w:rsidR="00875EDE" w:rsidRPr="00875EDE" w:rsidRDefault="00875EDE" w:rsidP="00875EDE">
      <w:pPr>
        <w:numPr>
          <w:ilvl w:val="0"/>
          <w:numId w:val="71"/>
        </w:numPr>
        <w:spacing w:after="160" w:line="259" w:lineRule="auto"/>
      </w:pPr>
      <w:r w:rsidRPr="00875EDE">
        <w:t>se cuente con una salida clara y revisable por negocio;</w:t>
      </w:r>
    </w:p>
    <w:p w14:paraId="02044A02" w14:textId="77777777" w:rsidR="00875EDE" w:rsidRPr="00875EDE" w:rsidRDefault="00875EDE" w:rsidP="00875EDE">
      <w:pPr>
        <w:numPr>
          <w:ilvl w:val="0"/>
          <w:numId w:val="71"/>
        </w:numPr>
        <w:spacing w:after="160" w:line="259" w:lineRule="auto"/>
      </w:pPr>
      <w:r w:rsidRPr="00875EDE">
        <w:t>se realice la validación con usuarios responsables;</w:t>
      </w:r>
    </w:p>
    <w:p w14:paraId="7997D90F" w14:textId="77777777" w:rsidR="00875EDE" w:rsidRPr="00875EDE" w:rsidRDefault="00875EDE" w:rsidP="00875EDE">
      <w:pPr>
        <w:numPr>
          <w:ilvl w:val="0"/>
          <w:numId w:val="71"/>
        </w:numPr>
        <w:spacing w:after="160" w:line="259" w:lineRule="auto"/>
      </w:pPr>
      <w:r w:rsidRPr="00875EDE">
        <w:t>no existan observaciones críticas pendientes;</w:t>
      </w:r>
    </w:p>
    <w:p w14:paraId="516F0658" w14:textId="77777777" w:rsidR="00875EDE" w:rsidRPr="00875EDE" w:rsidRDefault="00875EDE" w:rsidP="00875EDE">
      <w:pPr>
        <w:numPr>
          <w:ilvl w:val="0"/>
          <w:numId w:val="71"/>
        </w:numPr>
        <w:spacing w:after="160" w:line="259" w:lineRule="auto"/>
      </w:pPr>
      <w:r w:rsidRPr="00875EDE">
        <w:t>el Product Owner confirme conformidad funcional.</w:t>
      </w:r>
    </w:p>
    <w:p w14:paraId="2D21618B" w14:textId="77777777" w:rsidR="00F757CF" w:rsidRPr="00F757CF" w:rsidRDefault="00000000" w:rsidP="00F757CF">
      <w:pPr>
        <w:spacing w:after="160" w:line="259" w:lineRule="auto"/>
      </w:pPr>
      <w:r>
        <w:pict w14:anchorId="641974AF">
          <v:rect id="_x0000_i1037" style="width:0;height:1.5pt" o:hralign="center" o:hrstd="t" o:hr="t" fillcolor="#a0a0a0" stroked="f"/>
        </w:pict>
      </w:r>
    </w:p>
    <w:p w14:paraId="74A7E8B6" w14:textId="77777777" w:rsidR="00F757CF" w:rsidRPr="00F757CF" w:rsidRDefault="00F757CF" w:rsidP="00F757CF">
      <w:pPr>
        <w:spacing w:after="160" w:line="259" w:lineRule="auto"/>
        <w:rPr>
          <w:rFonts w:asciiTheme="majorHAnsi" w:eastAsiaTheme="majorEastAsia" w:hAnsiTheme="majorHAnsi" w:cstheme="majorBidi"/>
          <w:b/>
          <w:bCs/>
          <w:color w:val="156082" w:themeColor="accent1"/>
          <w:sz w:val="26"/>
          <w:szCs w:val="26"/>
        </w:rPr>
      </w:pPr>
      <w:r w:rsidRPr="00F757CF">
        <w:rPr>
          <w:rFonts w:asciiTheme="majorHAnsi" w:eastAsiaTheme="majorEastAsia" w:hAnsiTheme="majorHAnsi" w:cstheme="majorBidi"/>
          <w:b/>
          <w:bCs/>
          <w:color w:val="156082" w:themeColor="accent1"/>
          <w:sz w:val="26"/>
          <w:szCs w:val="26"/>
        </w:rPr>
        <w:t>13. Referencias</w:t>
      </w:r>
    </w:p>
    <w:p w14:paraId="71F4726B" w14:textId="77777777" w:rsidR="00875EDE" w:rsidRPr="00875EDE" w:rsidRDefault="00875EDE" w:rsidP="00875EDE">
      <w:pPr>
        <w:numPr>
          <w:ilvl w:val="0"/>
          <w:numId w:val="72"/>
        </w:numPr>
        <w:spacing w:after="160" w:line="259" w:lineRule="auto"/>
      </w:pPr>
      <w:r w:rsidRPr="00875EDE">
        <w:t>Sesión de levantamiento realizada con Negocio, PM y Desarrollo.</w:t>
      </w:r>
    </w:p>
    <w:p w14:paraId="49D676D2" w14:textId="77777777" w:rsidR="00875EDE" w:rsidRPr="00875EDE" w:rsidRDefault="00875EDE" w:rsidP="00875EDE">
      <w:pPr>
        <w:numPr>
          <w:ilvl w:val="0"/>
          <w:numId w:val="72"/>
        </w:numPr>
        <w:spacing w:after="160" w:line="259" w:lineRule="auto"/>
      </w:pPr>
      <w:r w:rsidRPr="00875EDE">
        <w:t>Validaciones posteriores con Recursos Humanos.</w:t>
      </w:r>
    </w:p>
    <w:p w14:paraId="43992B2F" w14:textId="77777777" w:rsidR="00875EDE" w:rsidRPr="00875EDE" w:rsidRDefault="00875EDE" w:rsidP="00875EDE">
      <w:pPr>
        <w:numPr>
          <w:ilvl w:val="0"/>
          <w:numId w:val="72"/>
        </w:numPr>
        <w:spacing w:after="160" w:line="259" w:lineRule="auto"/>
      </w:pPr>
      <w:r w:rsidRPr="00875EDE">
        <w:t>Validaciones posteriores con Gerencia General.</w:t>
      </w:r>
    </w:p>
    <w:p w14:paraId="661A7C32" w14:textId="77777777" w:rsidR="00875EDE" w:rsidRPr="00875EDE" w:rsidRDefault="00875EDE" w:rsidP="00875EDE">
      <w:pPr>
        <w:numPr>
          <w:ilvl w:val="0"/>
          <w:numId w:val="72"/>
        </w:numPr>
        <w:spacing w:after="160" w:line="259" w:lineRule="auto"/>
      </w:pPr>
      <w:r w:rsidRPr="00875EDE">
        <w:t>Fuentes de información de vacantes y flota que se definan como oficiales.</w:t>
      </w:r>
    </w:p>
    <w:p w14:paraId="7DE7759B" w14:textId="62B29C95" w:rsidR="00F757CF" w:rsidRPr="00F757CF" w:rsidRDefault="00000000" w:rsidP="00F757CF">
      <w:pPr>
        <w:spacing w:after="160" w:line="259" w:lineRule="auto"/>
      </w:pPr>
      <w:r>
        <w:pict w14:anchorId="3F9E59E1">
          <v:rect id="_x0000_i1038" style="width:0;height:1.5pt" o:hralign="center" o:hrstd="t" o:hr="t" fillcolor="#a0a0a0" stroked="f"/>
        </w:pict>
      </w:r>
    </w:p>
    <w:p w14:paraId="7F11C5B1" w14:textId="244BC12F" w:rsidR="00F757CF" w:rsidRPr="00F757CF" w:rsidRDefault="00F757CF" w:rsidP="00F757CF">
      <w:pPr>
        <w:spacing w:after="160" w:line="259" w:lineRule="auto"/>
        <w:rPr>
          <w:rFonts w:asciiTheme="majorHAnsi" w:eastAsiaTheme="majorEastAsia" w:hAnsiTheme="majorHAnsi" w:cstheme="majorBidi"/>
          <w:b/>
          <w:bCs/>
          <w:color w:val="156082" w:themeColor="accent1"/>
          <w:sz w:val="26"/>
          <w:szCs w:val="26"/>
        </w:rPr>
      </w:pPr>
      <w:r w:rsidRPr="00F757CF">
        <w:rPr>
          <w:rFonts w:asciiTheme="majorHAnsi" w:eastAsiaTheme="majorEastAsia" w:hAnsiTheme="majorHAnsi" w:cstheme="majorBidi"/>
          <w:b/>
          <w:bCs/>
          <w:color w:val="156082" w:themeColor="accent1"/>
          <w:sz w:val="26"/>
          <w:szCs w:val="26"/>
        </w:rPr>
        <w:t>14. FIRMAS DE CONFORMIDAD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06"/>
        <w:gridCol w:w="2977"/>
        <w:gridCol w:w="2977"/>
      </w:tblGrid>
      <w:tr w:rsidR="00F757CF" w:rsidRPr="00F757CF" w14:paraId="4FC1C765" w14:textId="77777777" w:rsidTr="009A70C7">
        <w:trPr>
          <w:tblHeader/>
        </w:trPr>
        <w:tc>
          <w:tcPr>
            <w:tcW w:w="4106" w:type="dxa"/>
            <w:tcMar>
              <w:top w:w="150" w:type="dxa"/>
              <w:left w:w="150" w:type="dxa"/>
              <w:bottom w:w="150" w:type="dxa"/>
              <w:right w:w="150" w:type="dxa"/>
            </w:tcMar>
            <w:vAlign w:val="bottom"/>
            <w:hideMark/>
          </w:tcPr>
          <w:p w14:paraId="67DA0179" w14:textId="77777777" w:rsidR="00F757CF" w:rsidRPr="00F757CF" w:rsidRDefault="00F757CF" w:rsidP="009A70C7">
            <w:pPr>
              <w:spacing w:after="160" w:line="259" w:lineRule="auto"/>
              <w:jc w:val="center"/>
              <w:rPr>
                <w:b/>
                <w:bCs/>
              </w:rPr>
            </w:pPr>
            <w:r w:rsidRPr="00F757CF">
              <w:rPr>
                <w:b/>
                <w:bCs/>
              </w:rPr>
              <w:lastRenderedPageBreak/>
              <w:t>Nombre</w:t>
            </w:r>
          </w:p>
        </w:tc>
        <w:tc>
          <w:tcPr>
            <w:tcW w:w="2977" w:type="dxa"/>
            <w:tcMar>
              <w:top w:w="150" w:type="dxa"/>
              <w:left w:w="150" w:type="dxa"/>
              <w:bottom w:w="150" w:type="dxa"/>
              <w:right w:w="150" w:type="dxa"/>
            </w:tcMar>
            <w:vAlign w:val="bottom"/>
            <w:hideMark/>
          </w:tcPr>
          <w:p w14:paraId="317767A2" w14:textId="77777777" w:rsidR="00F757CF" w:rsidRPr="00F757CF" w:rsidRDefault="00F757CF" w:rsidP="009A70C7">
            <w:pPr>
              <w:spacing w:after="160" w:line="259" w:lineRule="auto"/>
              <w:jc w:val="center"/>
              <w:rPr>
                <w:b/>
                <w:bCs/>
              </w:rPr>
            </w:pPr>
            <w:r w:rsidRPr="00F757CF">
              <w:rPr>
                <w:b/>
                <w:bCs/>
              </w:rPr>
              <w:t>Cargo</w:t>
            </w:r>
          </w:p>
        </w:tc>
        <w:tc>
          <w:tcPr>
            <w:tcW w:w="2977" w:type="dxa"/>
            <w:tcMar>
              <w:top w:w="150" w:type="dxa"/>
              <w:left w:w="150" w:type="dxa"/>
              <w:bottom w:w="150" w:type="dxa"/>
              <w:right w:w="150" w:type="dxa"/>
            </w:tcMar>
            <w:vAlign w:val="bottom"/>
            <w:hideMark/>
          </w:tcPr>
          <w:p w14:paraId="4CCF822D" w14:textId="77777777" w:rsidR="00F757CF" w:rsidRPr="00F757CF" w:rsidRDefault="00F757CF" w:rsidP="009A70C7">
            <w:pPr>
              <w:spacing w:after="160" w:line="259" w:lineRule="auto"/>
              <w:jc w:val="center"/>
              <w:rPr>
                <w:b/>
                <w:bCs/>
              </w:rPr>
            </w:pPr>
            <w:r w:rsidRPr="00F757CF">
              <w:rPr>
                <w:b/>
                <w:bCs/>
              </w:rPr>
              <w:t>Firma</w:t>
            </w:r>
          </w:p>
        </w:tc>
      </w:tr>
      <w:tr w:rsidR="00F757CF" w:rsidRPr="00F757CF" w14:paraId="5CA912C0" w14:textId="77777777" w:rsidTr="009A70C7">
        <w:tc>
          <w:tcPr>
            <w:tcW w:w="4106" w:type="dxa"/>
            <w:tcMar>
              <w:top w:w="150" w:type="dxa"/>
              <w:left w:w="150" w:type="dxa"/>
              <w:bottom w:w="150" w:type="dxa"/>
              <w:right w:w="150" w:type="dxa"/>
            </w:tcMar>
            <w:vAlign w:val="bottom"/>
          </w:tcPr>
          <w:p w14:paraId="580B5FBB" w14:textId="1F23D9D3" w:rsidR="00F757CF" w:rsidRPr="00F757CF" w:rsidRDefault="009A70C7" w:rsidP="00F757CF">
            <w:pPr>
              <w:spacing w:after="160" w:line="259" w:lineRule="auto"/>
            </w:pPr>
            <w:r w:rsidRPr="009A70C7">
              <w:t xml:space="preserve">Oswaldo </w:t>
            </w:r>
            <w:r>
              <w:t>Daniel Ortiz Martinez</w:t>
            </w:r>
          </w:p>
        </w:tc>
        <w:tc>
          <w:tcPr>
            <w:tcW w:w="2977" w:type="dxa"/>
            <w:tcMar>
              <w:top w:w="150" w:type="dxa"/>
              <w:left w:w="150" w:type="dxa"/>
              <w:bottom w:w="150" w:type="dxa"/>
              <w:right w:w="150" w:type="dxa"/>
            </w:tcMar>
            <w:vAlign w:val="bottom"/>
          </w:tcPr>
          <w:p w14:paraId="4764744E" w14:textId="6174D6FF" w:rsidR="00F757CF" w:rsidRPr="00F757CF" w:rsidRDefault="009A70C7" w:rsidP="00F757CF">
            <w:pPr>
              <w:spacing w:after="160" w:line="259" w:lineRule="auto"/>
            </w:pPr>
            <w:r w:rsidRPr="009A70C7">
              <w:t>Product Owner (Negocio)</w:t>
            </w:r>
          </w:p>
        </w:tc>
        <w:tc>
          <w:tcPr>
            <w:tcW w:w="2977" w:type="dxa"/>
            <w:tcMar>
              <w:top w:w="150" w:type="dxa"/>
              <w:left w:w="150" w:type="dxa"/>
              <w:bottom w:w="150" w:type="dxa"/>
              <w:right w:w="150" w:type="dxa"/>
            </w:tcMar>
            <w:vAlign w:val="bottom"/>
          </w:tcPr>
          <w:p w14:paraId="73CEB956" w14:textId="77777777" w:rsidR="00F757CF" w:rsidRPr="00F757CF" w:rsidRDefault="00F757CF" w:rsidP="00F757CF">
            <w:pPr>
              <w:spacing w:after="160" w:line="259" w:lineRule="auto"/>
            </w:pPr>
          </w:p>
        </w:tc>
      </w:tr>
      <w:tr w:rsidR="00F757CF" w:rsidRPr="00F757CF" w14:paraId="520381ED" w14:textId="77777777" w:rsidTr="009A70C7">
        <w:tc>
          <w:tcPr>
            <w:tcW w:w="4106" w:type="dxa"/>
            <w:tcMar>
              <w:top w:w="150" w:type="dxa"/>
              <w:left w:w="150" w:type="dxa"/>
              <w:bottom w:w="150" w:type="dxa"/>
              <w:right w:w="150" w:type="dxa"/>
            </w:tcMar>
            <w:vAlign w:val="bottom"/>
          </w:tcPr>
          <w:p w14:paraId="5D4128FD" w14:textId="13E64C00" w:rsidR="00F757CF" w:rsidRPr="00F757CF" w:rsidRDefault="009A70C7" w:rsidP="00F757CF">
            <w:pPr>
              <w:spacing w:after="160" w:line="259" w:lineRule="auto"/>
            </w:pPr>
            <w:r w:rsidRPr="009A70C7">
              <w:t>Emanuel Simon</w:t>
            </w:r>
            <w:r>
              <w:t xml:space="preserve"> Zepeda</w:t>
            </w:r>
          </w:p>
        </w:tc>
        <w:tc>
          <w:tcPr>
            <w:tcW w:w="2977" w:type="dxa"/>
            <w:tcMar>
              <w:top w:w="150" w:type="dxa"/>
              <w:left w:w="150" w:type="dxa"/>
              <w:bottom w:w="150" w:type="dxa"/>
              <w:right w:w="150" w:type="dxa"/>
            </w:tcMar>
            <w:vAlign w:val="bottom"/>
          </w:tcPr>
          <w:p w14:paraId="27CE5890" w14:textId="44683673" w:rsidR="00F757CF" w:rsidRPr="00F757CF" w:rsidRDefault="009A70C7" w:rsidP="00F757CF">
            <w:pPr>
              <w:spacing w:after="160" w:line="259" w:lineRule="auto"/>
            </w:pPr>
            <w:r>
              <w:t>Desarrollador Analista</w:t>
            </w:r>
          </w:p>
        </w:tc>
        <w:tc>
          <w:tcPr>
            <w:tcW w:w="2977" w:type="dxa"/>
            <w:tcMar>
              <w:top w:w="150" w:type="dxa"/>
              <w:left w:w="150" w:type="dxa"/>
              <w:bottom w:w="150" w:type="dxa"/>
              <w:right w:w="150" w:type="dxa"/>
            </w:tcMar>
            <w:vAlign w:val="bottom"/>
          </w:tcPr>
          <w:p w14:paraId="3228604F" w14:textId="77777777" w:rsidR="00F757CF" w:rsidRPr="00F757CF" w:rsidRDefault="00F757CF" w:rsidP="00F757CF">
            <w:pPr>
              <w:spacing w:after="160" w:line="259" w:lineRule="auto"/>
            </w:pPr>
          </w:p>
        </w:tc>
      </w:tr>
      <w:tr w:rsidR="009A70C7" w:rsidRPr="00F757CF" w14:paraId="6A4D87AF" w14:textId="77777777" w:rsidTr="009A70C7">
        <w:tc>
          <w:tcPr>
            <w:tcW w:w="4106" w:type="dxa"/>
            <w:tcMar>
              <w:top w:w="150" w:type="dxa"/>
              <w:left w:w="150" w:type="dxa"/>
              <w:bottom w:w="150" w:type="dxa"/>
              <w:right w:w="150" w:type="dxa"/>
            </w:tcMar>
            <w:vAlign w:val="bottom"/>
          </w:tcPr>
          <w:p w14:paraId="65405CAE" w14:textId="029E37C4" w:rsidR="009A70C7" w:rsidRPr="009A70C7" w:rsidRDefault="009A70C7" w:rsidP="00F757CF">
            <w:pPr>
              <w:spacing w:after="160" w:line="259" w:lineRule="auto"/>
            </w:pPr>
            <w:r w:rsidRPr="009A70C7">
              <w:t>Jaime Armando</w:t>
            </w:r>
            <w:r>
              <w:t xml:space="preserve"> Comparan Velasco</w:t>
            </w:r>
          </w:p>
        </w:tc>
        <w:tc>
          <w:tcPr>
            <w:tcW w:w="2977" w:type="dxa"/>
            <w:tcMar>
              <w:top w:w="150" w:type="dxa"/>
              <w:left w:w="150" w:type="dxa"/>
              <w:bottom w:w="150" w:type="dxa"/>
              <w:right w:w="150" w:type="dxa"/>
            </w:tcMar>
            <w:vAlign w:val="bottom"/>
          </w:tcPr>
          <w:p w14:paraId="713072AC" w14:textId="588F5722" w:rsidR="009A70C7" w:rsidRPr="00F757CF" w:rsidRDefault="009A70C7" w:rsidP="00F757CF">
            <w:pPr>
              <w:spacing w:after="160" w:line="259" w:lineRule="auto"/>
            </w:pPr>
            <w:r w:rsidRPr="009A70C7">
              <w:t>Desarrollo</w:t>
            </w:r>
            <w:r>
              <w:t xml:space="preserve"> Web</w:t>
            </w:r>
          </w:p>
        </w:tc>
        <w:tc>
          <w:tcPr>
            <w:tcW w:w="2977" w:type="dxa"/>
            <w:tcMar>
              <w:top w:w="150" w:type="dxa"/>
              <w:left w:w="150" w:type="dxa"/>
              <w:bottom w:w="150" w:type="dxa"/>
              <w:right w:w="150" w:type="dxa"/>
            </w:tcMar>
            <w:vAlign w:val="bottom"/>
          </w:tcPr>
          <w:p w14:paraId="6AAC2D2A" w14:textId="77777777" w:rsidR="009A70C7" w:rsidRPr="00F757CF" w:rsidRDefault="009A70C7" w:rsidP="00F757CF">
            <w:pPr>
              <w:spacing w:after="160" w:line="259" w:lineRule="auto"/>
            </w:pPr>
          </w:p>
        </w:tc>
      </w:tr>
      <w:tr w:rsidR="009A70C7" w:rsidRPr="00F757CF" w14:paraId="118BB2B1" w14:textId="77777777" w:rsidTr="009A70C7">
        <w:tc>
          <w:tcPr>
            <w:tcW w:w="4106" w:type="dxa"/>
            <w:tcMar>
              <w:top w:w="150" w:type="dxa"/>
              <w:left w:w="150" w:type="dxa"/>
              <w:bottom w:w="150" w:type="dxa"/>
              <w:right w:w="150" w:type="dxa"/>
            </w:tcMar>
            <w:vAlign w:val="bottom"/>
          </w:tcPr>
          <w:p w14:paraId="0F5FFF58" w14:textId="2B12FA4C" w:rsidR="009A70C7" w:rsidRPr="009A70C7" w:rsidRDefault="009A70C7" w:rsidP="00F757CF">
            <w:pPr>
              <w:spacing w:after="160" w:line="259" w:lineRule="auto"/>
            </w:pPr>
            <w:r w:rsidRPr="009A70C7">
              <w:t>Everardo</w:t>
            </w:r>
          </w:p>
        </w:tc>
        <w:tc>
          <w:tcPr>
            <w:tcW w:w="2977" w:type="dxa"/>
            <w:tcMar>
              <w:top w:w="150" w:type="dxa"/>
              <w:left w:w="150" w:type="dxa"/>
              <w:bottom w:w="150" w:type="dxa"/>
              <w:right w:w="150" w:type="dxa"/>
            </w:tcMar>
            <w:vAlign w:val="bottom"/>
          </w:tcPr>
          <w:p w14:paraId="70D3822C" w14:textId="795B58B5" w:rsidR="009A70C7" w:rsidRPr="00F757CF" w:rsidRDefault="009A70C7" w:rsidP="00F757CF">
            <w:pPr>
              <w:spacing w:after="160" w:line="259" w:lineRule="auto"/>
            </w:pPr>
            <w:r w:rsidRPr="009A70C7">
              <w:t>Stakeholder</w:t>
            </w:r>
          </w:p>
        </w:tc>
        <w:tc>
          <w:tcPr>
            <w:tcW w:w="2977" w:type="dxa"/>
            <w:tcMar>
              <w:top w:w="150" w:type="dxa"/>
              <w:left w:w="150" w:type="dxa"/>
              <w:bottom w:w="150" w:type="dxa"/>
              <w:right w:w="150" w:type="dxa"/>
            </w:tcMar>
            <w:vAlign w:val="bottom"/>
          </w:tcPr>
          <w:p w14:paraId="7D35BC74" w14:textId="77777777" w:rsidR="009A70C7" w:rsidRPr="00F757CF" w:rsidRDefault="009A70C7" w:rsidP="00F757CF">
            <w:pPr>
              <w:spacing w:after="160" w:line="259" w:lineRule="auto"/>
            </w:pPr>
          </w:p>
        </w:tc>
      </w:tr>
    </w:tbl>
    <w:p w14:paraId="432EFAA7" w14:textId="17E25773" w:rsidR="00587CFC" w:rsidRPr="00587CFC" w:rsidRDefault="00587CFC" w:rsidP="00C434CC">
      <w:pPr>
        <w:spacing w:after="160" w:line="259" w:lineRule="auto"/>
      </w:pPr>
    </w:p>
    <w:sectPr w:rsidR="00587CFC" w:rsidRPr="00587CFC" w:rsidSect="00C37CE9">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91A5C" w14:textId="77777777" w:rsidR="0014370A" w:rsidRPr="00881BA3" w:rsidRDefault="0014370A" w:rsidP="00C37CE9">
      <w:pPr>
        <w:spacing w:after="0"/>
      </w:pPr>
      <w:r w:rsidRPr="00881BA3">
        <w:separator/>
      </w:r>
    </w:p>
  </w:endnote>
  <w:endnote w:type="continuationSeparator" w:id="0">
    <w:p w14:paraId="677071AF" w14:textId="77777777" w:rsidR="0014370A" w:rsidRPr="00881BA3" w:rsidRDefault="0014370A" w:rsidP="00C37CE9">
      <w:pPr>
        <w:spacing w:after="0"/>
      </w:pPr>
      <w:r w:rsidRPr="00881B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88EC" w14:textId="77777777" w:rsidR="00DA7EC7" w:rsidRPr="00881BA3" w:rsidRDefault="00DA7EC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9E49B" w14:textId="77777777" w:rsidR="00DA7EC7" w:rsidRPr="00881BA3" w:rsidRDefault="00DA7EC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3D9A1" w14:textId="77777777" w:rsidR="00DA7EC7" w:rsidRPr="00881BA3" w:rsidRDefault="00DA7EC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D2CE" w14:textId="77777777" w:rsidR="0014370A" w:rsidRPr="00881BA3" w:rsidRDefault="0014370A" w:rsidP="00C37CE9">
      <w:pPr>
        <w:spacing w:after="0"/>
      </w:pPr>
      <w:r w:rsidRPr="00881BA3">
        <w:separator/>
      </w:r>
    </w:p>
  </w:footnote>
  <w:footnote w:type="continuationSeparator" w:id="0">
    <w:p w14:paraId="3EC9F3EC" w14:textId="77777777" w:rsidR="0014370A" w:rsidRPr="00881BA3" w:rsidRDefault="0014370A" w:rsidP="00C37CE9">
      <w:pPr>
        <w:spacing w:after="0"/>
      </w:pPr>
      <w:r w:rsidRPr="00881B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D5FC7" w14:textId="77777777" w:rsidR="00DA7EC7" w:rsidRPr="00881BA3" w:rsidRDefault="00DA7EC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3471"/>
      <w:gridCol w:w="3297"/>
      <w:gridCol w:w="3302"/>
    </w:tblGrid>
    <w:tr w:rsidR="00C37CE9" w:rsidRPr="00881BA3" w14:paraId="5F3FCD12" w14:textId="77777777" w:rsidTr="00C522DD">
      <w:tc>
        <w:tcPr>
          <w:tcW w:w="3356" w:type="dxa"/>
          <w:vMerge w:val="restart"/>
          <w:vAlign w:val="center"/>
        </w:tcPr>
        <w:p w14:paraId="1BAAC0F5" w14:textId="77777777" w:rsidR="00C37CE9" w:rsidRPr="00881BA3" w:rsidRDefault="00C37CE9" w:rsidP="00C37CE9">
          <w:pPr>
            <w:pStyle w:val="Encabezado"/>
            <w:jc w:val="center"/>
          </w:pPr>
          <w:r w:rsidRPr="00881BA3">
            <w:rPr>
              <w:noProof/>
            </w:rPr>
            <w:drawing>
              <wp:inline distT="0" distB="0" distL="0" distR="0" wp14:anchorId="411A8224" wp14:editId="30FF7F10">
                <wp:extent cx="2066925" cy="650971"/>
                <wp:effectExtent l="0" t="0" r="0" b="0"/>
                <wp:docPr id="16274141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071" cy="657001"/>
                        </a:xfrm>
                        <a:prstGeom prst="rect">
                          <a:avLst/>
                        </a:prstGeom>
                        <a:noFill/>
                        <a:ln>
                          <a:noFill/>
                        </a:ln>
                      </pic:spPr>
                    </pic:pic>
                  </a:graphicData>
                </a:graphic>
              </wp:inline>
            </w:drawing>
          </w:r>
        </w:p>
      </w:tc>
      <w:tc>
        <w:tcPr>
          <w:tcW w:w="6714" w:type="dxa"/>
          <w:gridSpan w:val="2"/>
          <w:vAlign w:val="center"/>
        </w:tcPr>
        <w:p w14:paraId="00B9495B" w14:textId="4DC05F49" w:rsidR="00C37CE9" w:rsidRPr="00881BA3" w:rsidRDefault="00DA7EC7" w:rsidP="00C37CE9">
          <w:pPr>
            <w:pStyle w:val="Encabezado"/>
            <w:jc w:val="center"/>
          </w:pPr>
          <w:r w:rsidRPr="00881BA3">
            <w:t>HISTORIA DE USUARIO</w:t>
          </w:r>
          <w:r w:rsidR="00C37CE9" w:rsidRPr="00881BA3">
            <w:t xml:space="preserve"> (DESARROLLO INTERNO)</w:t>
          </w:r>
        </w:p>
      </w:tc>
    </w:tr>
    <w:tr w:rsidR="00C37CE9" w:rsidRPr="00881BA3" w14:paraId="54544CFE" w14:textId="77777777" w:rsidTr="00C522DD">
      <w:trPr>
        <w:trHeight w:val="840"/>
      </w:trPr>
      <w:tc>
        <w:tcPr>
          <w:tcW w:w="3356" w:type="dxa"/>
          <w:vMerge/>
          <w:vAlign w:val="center"/>
        </w:tcPr>
        <w:p w14:paraId="2DAB2167" w14:textId="77777777" w:rsidR="00C37CE9" w:rsidRPr="00881BA3" w:rsidRDefault="00C37CE9" w:rsidP="00C37CE9">
          <w:pPr>
            <w:pStyle w:val="Encabezado"/>
            <w:jc w:val="center"/>
          </w:pPr>
        </w:p>
      </w:tc>
      <w:tc>
        <w:tcPr>
          <w:tcW w:w="3357" w:type="dxa"/>
          <w:vAlign w:val="center"/>
        </w:tcPr>
        <w:p w14:paraId="192D4702" w14:textId="63473634" w:rsidR="00C37CE9" w:rsidRPr="00881BA3" w:rsidRDefault="00C37CE9" w:rsidP="00C37CE9">
          <w:pPr>
            <w:pStyle w:val="Encabezado"/>
            <w:jc w:val="center"/>
          </w:pPr>
          <w:r w:rsidRPr="00881BA3">
            <w:t xml:space="preserve">Código: </w:t>
          </w:r>
          <w:r w:rsidR="00DA7EC7" w:rsidRPr="00881BA3">
            <w:t>HU</w:t>
          </w:r>
          <w:r w:rsidRPr="00881BA3">
            <w:t>-001</w:t>
          </w:r>
        </w:p>
      </w:tc>
      <w:tc>
        <w:tcPr>
          <w:tcW w:w="3357" w:type="dxa"/>
          <w:vAlign w:val="center"/>
        </w:tcPr>
        <w:p w14:paraId="7909E25A" w14:textId="77777777" w:rsidR="00C37CE9" w:rsidRPr="00881BA3" w:rsidRDefault="00C37CE9" w:rsidP="00C37CE9">
          <w:pPr>
            <w:pStyle w:val="Encabezado"/>
            <w:jc w:val="center"/>
          </w:pPr>
          <w:r w:rsidRPr="00881BA3">
            <w:t>Vigente a partir:</w:t>
          </w:r>
        </w:p>
        <w:p w14:paraId="0B3D939B" w14:textId="77777777" w:rsidR="00C37CE9" w:rsidRPr="00881BA3" w:rsidRDefault="00C37CE9" w:rsidP="00C37CE9">
          <w:pPr>
            <w:pStyle w:val="Encabezado"/>
            <w:jc w:val="center"/>
          </w:pPr>
          <w:r w:rsidRPr="00881BA3">
            <w:t>01/1/2025</w:t>
          </w:r>
        </w:p>
      </w:tc>
    </w:tr>
  </w:tbl>
  <w:p w14:paraId="0BA40E5E" w14:textId="77777777" w:rsidR="00C37CE9" w:rsidRPr="00881BA3" w:rsidRDefault="00C37C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8429" w14:textId="77777777" w:rsidR="00DA7EC7" w:rsidRPr="00881BA3" w:rsidRDefault="00DA7E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4AFA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9E62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1B3B22"/>
    <w:multiLevelType w:val="multilevel"/>
    <w:tmpl w:val="B074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E6404"/>
    <w:multiLevelType w:val="multilevel"/>
    <w:tmpl w:val="5A6C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D6B78"/>
    <w:multiLevelType w:val="multilevel"/>
    <w:tmpl w:val="722C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F74D98"/>
    <w:multiLevelType w:val="multilevel"/>
    <w:tmpl w:val="06D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20AB5"/>
    <w:multiLevelType w:val="hybridMultilevel"/>
    <w:tmpl w:val="EC6C7616"/>
    <w:lvl w:ilvl="0" w:tplc="4BFC882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5D60142"/>
    <w:multiLevelType w:val="multilevel"/>
    <w:tmpl w:val="F74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E2198E"/>
    <w:multiLevelType w:val="multilevel"/>
    <w:tmpl w:val="05A0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9272A"/>
    <w:multiLevelType w:val="multilevel"/>
    <w:tmpl w:val="80D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7D26DA"/>
    <w:multiLevelType w:val="multilevel"/>
    <w:tmpl w:val="66A0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423CA"/>
    <w:multiLevelType w:val="multilevel"/>
    <w:tmpl w:val="73B6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615F5"/>
    <w:multiLevelType w:val="multilevel"/>
    <w:tmpl w:val="181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597769"/>
    <w:multiLevelType w:val="multilevel"/>
    <w:tmpl w:val="6D7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507BC0"/>
    <w:multiLevelType w:val="multilevel"/>
    <w:tmpl w:val="4B7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46E9A"/>
    <w:multiLevelType w:val="multilevel"/>
    <w:tmpl w:val="A9ACB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B057B"/>
    <w:multiLevelType w:val="multilevel"/>
    <w:tmpl w:val="DB8E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19637D"/>
    <w:multiLevelType w:val="multilevel"/>
    <w:tmpl w:val="DFC4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77595"/>
    <w:multiLevelType w:val="multilevel"/>
    <w:tmpl w:val="631A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C3C90"/>
    <w:multiLevelType w:val="multilevel"/>
    <w:tmpl w:val="49C0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734C25"/>
    <w:multiLevelType w:val="multilevel"/>
    <w:tmpl w:val="C998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151679"/>
    <w:multiLevelType w:val="multilevel"/>
    <w:tmpl w:val="AB4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04D18"/>
    <w:multiLevelType w:val="hybridMultilevel"/>
    <w:tmpl w:val="B5E6AC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2C9C1E1A"/>
    <w:multiLevelType w:val="multilevel"/>
    <w:tmpl w:val="FEEE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D93411"/>
    <w:multiLevelType w:val="multilevel"/>
    <w:tmpl w:val="6646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BE643C"/>
    <w:multiLevelType w:val="multilevel"/>
    <w:tmpl w:val="2D6E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15816"/>
    <w:multiLevelType w:val="multilevel"/>
    <w:tmpl w:val="25849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9B3BC9"/>
    <w:multiLevelType w:val="multilevel"/>
    <w:tmpl w:val="9B26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6B16D6"/>
    <w:multiLevelType w:val="multilevel"/>
    <w:tmpl w:val="8A66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B1CF2"/>
    <w:multiLevelType w:val="multilevel"/>
    <w:tmpl w:val="3A20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A2DF9"/>
    <w:multiLevelType w:val="multilevel"/>
    <w:tmpl w:val="E46E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401A42"/>
    <w:multiLevelType w:val="multilevel"/>
    <w:tmpl w:val="F5F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F23EC8"/>
    <w:multiLevelType w:val="multilevel"/>
    <w:tmpl w:val="9EFE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56312B"/>
    <w:multiLevelType w:val="multilevel"/>
    <w:tmpl w:val="F2FE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2AB4DDF"/>
    <w:multiLevelType w:val="multilevel"/>
    <w:tmpl w:val="5FAA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C510CD"/>
    <w:multiLevelType w:val="multilevel"/>
    <w:tmpl w:val="705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F459F0"/>
    <w:multiLevelType w:val="multilevel"/>
    <w:tmpl w:val="4572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F95A62"/>
    <w:multiLevelType w:val="multilevel"/>
    <w:tmpl w:val="3A68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5B0793"/>
    <w:multiLevelType w:val="multilevel"/>
    <w:tmpl w:val="8B26A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3825E0"/>
    <w:multiLevelType w:val="multilevel"/>
    <w:tmpl w:val="5D1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252035"/>
    <w:multiLevelType w:val="multilevel"/>
    <w:tmpl w:val="A64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5E4891"/>
    <w:multiLevelType w:val="multilevel"/>
    <w:tmpl w:val="5134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5F3217"/>
    <w:multiLevelType w:val="multilevel"/>
    <w:tmpl w:val="4B7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D32067"/>
    <w:multiLevelType w:val="multilevel"/>
    <w:tmpl w:val="802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1C1EAD"/>
    <w:multiLevelType w:val="multilevel"/>
    <w:tmpl w:val="4B7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E428F5"/>
    <w:multiLevelType w:val="multilevel"/>
    <w:tmpl w:val="F08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D301F7"/>
    <w:multiLevelType w:val="hybridMultilevel"/>
    <w:tmpl w:val="0A269A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54CE28B6"/>
    <w:multiLevelType w:val="multilevel"/>
    <w:tmpl w:val="FBB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413850"/>
    <w:multiLevelType w:val="multilevel"/>
    <w:tmpl w:val="4B7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37233C"/>
    <w:multiLevelType w:val="hybridMultilevel"/>
    <w:tmpl w:val="C90EA1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7A93442"/>
    <w:multiLevelType w:val="multilevel"/>
    <w:tmpl w:val="F39A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235E5C"/>
    <w:multiLevelType w:val="multilevel"/>
    <w:tmpl w:val="6E5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675887"/>
    <w:multiLevelType w:val="multilevel"/>
    <w:tmpl w:val="F272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61574B"/>
    <w:multiLevelType w:val="multilevel"/>
    <w:tmpl w:val="6670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C07589"/>
    <w:multiLevelType w:val="multilevel"/>
    <w:tmpl w:val="8FD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EE7125"/>
    <w:multiLevelType w:val="multilevel"/>
    <w:tmpl w:val="B714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4A58FA"/>
    <w:multiLevelType w:val="multilevel"/>
    <w:tmpl w:val="4B7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4B633E"/>
    <w:multiLevelType w:val="multilevel"/>
    <w:tmpl w:val="10B0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8D430D"/>
    <w:multiLevelType w:val="multilevel"/>
    <w:tmpl w:val="3C68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210F0E"/>
    <w:multiLevelType w:val="multilevel"/>
    <w:tmpl w:val="9C4E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E533899"/>
    <w:multiLevelType w:val="multilevel"/>
    <w:tmpl w:val="F0E4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3063C4"/>
    <w:multiLevelType w:val="multilevel"/>
    <w:tmpl w:val="3988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8321C3"/>
    <w:multiLevelType w:val="multilevel"/>
    <w:tmpl w:val="DF38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60358A"/>
    <w:multiLevelType w:val="multilevel"/>
    <w:tmpl w:val="39B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981641">
    <w:abstractNumId w:val="0"/>
  </w:num>
  <w:num w:numId="2" w16cid:durableId="1113358142">
    <w:abstractNumId w:val="1"/>
  </w:num>
  <w:num w:numId="3" w16cid:durableId="1630933865">
    <w:abstractNumId w:val="1"/>
  </w:num>
  <w:num w:numId="4" w16cid:durableId="711154595">
    <w:abstractNumId w:val="1"/>
  </w:num>
  <w:num w:numId="5" w16cid:durableId="1701055078">
    <w:abstractNumId w:val="1"/>
  </w:num>
  <w:num w:numId="6" w16cid:durableId="1361275605">
    <w:abstractNumId w:val="1"/>
  </w:num>
  <w:num w:numId="7" w16cid:durableId="1822116309">
    <w:abstractNumId w:val="1"/>
  </w:num>
  <w:num w:numId="8" w16cid:durableId="2035181630">
    <w:abstractNumId w:val="1"/>
  </w:num>
  <w:num w:numId="9" w16cid:durableId="366830915">
    <w:abstractNumId w:val="1"/>
  </w:num>
  <w:num w:numId="10" w16cid:durableId="184027982">
    <w:abstractNumId w:val="1"/>
  </w:num>
  <w:num w:numId="11" w16cid:durableId="588391603">
    <w:abstractNumId w:val="61"/>
  </w:num>
  <w:num w:numId="12" w16cid:durableId="603001981">
    <w:abstractNumId w:val="24"/>
  </w:num>
  <w:num w:numId="13" w16cid:durableId="1636837038">
    <w:abstractNumId w:val="26"/>
  </w:num>
  <w:num w:numId="14" w16cid:durableId="1141461982">
    <w:abstractNumId w:val="50"/>
  </w:num>
  <w:num w:numId="15" w16cid:durableId="558708365">
    <w:abstractNumId w:val="34"/>
  </w:num>
  <w:num w:numId="16" w16cid:durableId="783228826">
    <w:abstractNumId w:val="11"/>
  </w:num>
  <w:num w:numId="17" w16cid:durableId="2090343497">
    <w:abstractNumId w:val="46"/>
  </w:num>
  <w:num w:numId="18" w16cid:durableId="370420419">
    <w:abstractNumId w:val="22"/>
  </w:num>
  <w:num w:numId="19" w16cid:durableId="222109711">
    <w:abstractNumId w:val="32"/>
  </w:num>
  <w:num w:numId="20" w16cid:durableId="1115369937">
    <w:abstractNumId w:val="49"/>
  </w:num>
  <w:num w:numId="21" w16cid:durableId="467628797">
    <w:abstractNumId w:val="6"/>
  </w:num>
  <w:num w:numId="22" w16cid:durableId="167258142">
    <w:abstractNumId w:val="25"/>
  </w:num>
  <w:num w:numId="23" w16cid:durableId="1776293237">
    <w:abstractNumId w:val="58"/>
  </w:num>
  <w:num w:numId="24" w16cid:durableId="1750418421">
    <w:abstractNumId w:val="21"/>
  </w:num>
  <w:num w:numId="25" w16cid:durableId="2052025906">
    <w:abstractNumId w:val="47"/>
  </w:num>
  <w:num w:numId="26" w16cid:durableId="848101507">
    <w:abstractNumId w:val="51"/>
  </w:num>
  <w:num w:numId="27" w16cid:durableId="891041154">
    <w:abstractNumId w:val="35"/>
  </w:num>
  <w:num w:numId="28" w16cid:durableId="1916743622">
    <w:abstractNumId w:val="63"/>
  </w:num>
  <w:num w:numId="29" w16cid:durableId="1983776931">
    <w:abstractNumId w:val="36"/>
  </w:num>
  <w:num w:numId="30" w16cid:durableId="1649280325">
    <w:abstractNumId w:val="48"/>
  </w:num>
  <w:num w:numId="31" w16cid:durableId="2016882909">
    <w:abstractNumId w:val="44"/>
  </w:num>
  <w:num w:numId="32" w16cid:durableId="1429690627">
    <w:abstractNumId w:val="42"/>
  </w:num>
  <w:num w:numId="33" w16cid:durableId="1795055791">
    <w:abstractNumId w:val="56"/>
  </w:num>
  <w:num w:numId="34" w16cid:durableId="1874222489">
    <w:abstractNumId w:val="14"/>
  </w:num>
  <w:num w:numId="35" w16cid:durableId="1354382455">
    <w:abstractNumId w:val="9"/>
  </w:num>
  <w:num w:numId="36" w16cid:durableId="1357847813">
    <w:abstractNumId w:val="16"/>
  </w:num>
  <w:num w:numId="37" w16cid:durableId="1331370806">
    <w:abstractNumId w:val="12"/>
  </w:num>
  <w:num w:numId="38" w16cid:durableId="378628863">
    <w:abstractNumId w:val="7"/>
  </w:num>
  <w:num w:numId="39" w16cid:durableId="1715155485">
    <w:abstractNumId w:val="13"/>
  </w:num>
  <w:num w:numId="40" w16cid:durableId="543099285">
    <w:abstractNumId w:val="37"/>
  </w:num>
  <w:num w:numId="41" w16cid:durableId="2010670458">
    <w:abstractNumId w:val="59"/>
  </w:num>
  <w:num w:numId="42" w16cid:durableId="809441812">
    <w:abstractNumId w:val="27"/>
  </w:num>
  <w:num w:numId="43" w16cid:durableId="1780761958">
    <w:abstractNumId w:val="20"/>
  </w:num>
  <w:num w:numId="44" w16cid:durableId="915938477">
    <w:abstractNumId w:val="4"/>
  </w:num>
  <w:num w:numId="45" w16cid:durableId="1288971978">
    <w:abstractNumId w:val="33"/>
  </w:num>
  <w:num w:numId="46" w16cid:durableId="1118336486">
    <w:abstractNumId w:val="19"/>
  </w:num>
  <w:num w:numId="47" w16cid:durableId="121656820">
    <w:abstractNumId w:val="39"/>
  </w:num>
  <w:num w:numId="48" w16cid:durableId="282930908">
    <w:abstractNumId w:val="29"/>
  </w:num>
  <w:num w:numId="49" w16cid:durableId="175658654">
    <w:abstractNumId w:val="54"/>
  </w:num>
  <w:num w:numId="50" w16cid:durableId="1368799869">
    <w:abstractNumId w:val="30"/>
  </w:num>
  <w:num w:numId="51" w16cid:durableId="406390702">
    <w:abstractNumId w:val="10"/>
  </w:num>
  <w:num w:numId="52" w16cid:durableId="1957982520">
    <w:abstractNumId w:val="31"/>
  </w:num>
  <w:num w:numId="53" w16cid:durableId="818573321">
    <w:abstractNumId w:val="40"/>
  </w:num>
  <w:num w:numId="54" w16cid:durableId="1447038336">
    <w:abstractNumId w:val="57"/>
  </w:num>
  <w:num w:numId="55" w16cid:durableId="3360709">
    <w:abstractNumId w:val="8"/>
  </w:num>
  <w:num w:numId="56" w16cid:durableId="1456557898">
    <w:abstractNumId w:val="5"/>
  </w:num>
  <w:num w:numId="57" w16cid:durableId="1431782473">
    <w:abstractNumId w:val="15"/>
  </w:num>
  <w:num w:numId="58" w16cid:durableId="1594630694">
    <w:abstractNumId w:val="55"/>
  </w:num>
  <w:num w:numId="59" w16cid:durableId="1563784784">
    <w:abstractNumId w:val="53"/>
  </w:num>
  <w:num w:numId="60" w16cid:durableId="1741711639">
    <w:abstractNumId w:val="23"/>
  </w:num>
  <w:num w:numId="61" w16cid:durableId="889803031">
    <w:abstractNumId w:val="60"/>
  </w:num>
  <w:num w:numId="62" w16cid:durableId="825560474">
    <w:abstractNumId w:val="2"/>
  </w:num>
  <w:num w:numId="63" w16cid:durableId="313415339">
    <w:abstractNumId w:val="52"/>
  </w:num>
  <w:num w:numId="64" w16cid:durableId="212010323">
    <w:abstractNumId w:val="17"/>
  </w:num>
  <w:num w:numId="65" w16cid:durableId="155459739">
    <w:abstractNumId w:val="28"/>
  </w:num>
  <w:num w:numId="66" w16cid:durableId="1982491664">
    <w:abstractNumId w:val="18"/>
  </w:num>
  <w:num w:numId="67" w16cid:durableId="1589119135">
    <w:abstractNumId w:val="38"/>
  </w:num>
  <w:num w:numId="68" w16cid:durableId="1343094889">
    <w:abstractNumId w:val="43"/>
  </w:num>
  <w:num w:numId="69" w16cid:durableId="123430788">
    <w:abstractNumId w:val="41"/>
  </w:num>
  <w:num w:numId="70" w16cid:durableId="1721241474">
    <w:abstractNumId w:val="3"/>
  </w:num>
  <w:num w:numId="71" w16cid:durableId="769815468">
    <w:abstractNumId w:val="62"/>
  </w:num>
  <w:num w:numId="72" w16cid:durableId="62574431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B34"/>
    <w:rsid w:val="00020C08"/>
    <w:rsid w:val="00041F3C"/>
    <w:rsid w:val="000502EA"/>
    <w:rsid w:val="00097C1C"/>
    <w:rsid w:val="000C3B34"/>
    <w:rsid w:val="00106D68"/>
    <w:rsid w:val="00133F0F"/>
    <w:rsid w:val="0014370A"/>
    <w:rsid w:val="001946C9"/>
    <w:rsid w:val="001C18F7"/>
    <w:rsid w:val="001F731F"/>
    <w:rsid w:val="002121CB"/>
    <w:rsid w:val="00235C7A"/>
    <w:rsid w:val="002D75E3"/>
    <w:rsid w:val="00366B15"/>
    <w:rsid w:val="00403E12"/>
    <w:rsid w:val="00432583"/>
    <w:rsid w:val="005124CE"/>
    <w:rsid w:val="00587CFC"/>
    <w:rsid w:val="006102CF"/>
    <w:rsid w:val="00623941"/>
    <w:rsid w:val="00741664"/>
    <w:rsid w:val="007D1387"/>
    <w:rsid w:val="008406DF"/>
    <w:rsid w:val="00875EDE"/>
    <w:rsid w:val="00876626"/>
    <w:rsid w:val="00881BA3"/>
    <w:rsid w:val="0089742A"/>
    <w:rsid w:val="008F304C"/>
    <w:rsid w:val="00963AB6"/>
    <w:rsid w:val="00973FF4"/>
    <w:rsid w:val="009A70C7"/>
    <w:rsid w:val="00A16D6F"/>
    <w:rsid w:val="00A47F91"/>
    <w:rsid w:val="00A7428B"/>
    <w:rsid w:val="00B322E5"/>
    <w:rsid w:val="00B711D5"/>
    <w:rsid w:val="00B843A7"/>
    <w:rsid w:val="00BE47F1"/>
    <w:rsid w:val="00C37CE9"/>
    <w:rsid w:val="00C434CC"/>
    <w:rsid w:val="00DA7EC7"/>
    <w:rsid w:val="00DB4383"/>
    <w:rsid w:val="00E05568"/>
    <w:rsid w:val="00E21534"/>
    <w:rsid w:val="00E3264D"/>
    <w:rsid w:val="00E9332E"/>
    <w:rsid w:val="00EC37DC"/>
    <w:rsid w:val="00EC3D81"/>
    <w:rsid w:val="00F757CF"/>
    <w:rsid w:val="00FE0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A4615"/>
  <w15:docId w15:val="{76C2CB0A-9B90-4729-AF02-A80E3E4E7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MX"/>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iPriority w:val="99"/>
    <w:rsid w:val="00C37CE9"/>
    <w:pPr>
      <w:tabs>
        <w:tab w:val="center" w:pos="4419"/>
        <w:tab w:val="right" w:pos="8838"/>
      </w:tabs>
      <w:spacing w:after="0"/>
    </w:pPr>
  </w:style>
  <w:style w:type="character" w:customStyle="1" w:styleId="EncabezadoCar">
    <w:name w:val="Encabezado Car"/>
    <w:basedOn w:val="Fuentedeprrafopredeter"/>
    <w:link w:val="Encabezado"/>
    <w:uiPriority w:val="99"/>
    <w:rsid w:val="00C37CE9"/>
  </w:style>
  <w:style w:type="paragraph" w:styleId="Piedepgina">
    <w:name w:val="footer"/>
    <w:basedOn w:val="Normal"/>
    <w:link w:val="PiedepginaCar"/>
    <w:rsid w:val="00C37CE9"/>
    <w:pPr>
      <w:tabs>
        <w:tab w:val="center" w:pos="4419"/>
        <w:tab w:val="right" w:pos="8838"/>
      </w:tabs>
      <w:spacing w:after="0"/>
    </w:pPr>
  </w:style>
  <w:style w:type="character" w:customStyle="1" w:styleId="PiedepginaCar">
    <w:name w:val="Pie de página Car"/>
    <w:basedOn w:val="Fuentedeprrafopredeter"/>
    <w:link w:val="Piedepgina"/>
    <w:rsid w:val="00C37CE9"/>
  </w:style>
  <w:style w:type="table" w:styleId="Tablaconcuadrcula">
    <w:name w:val="Table Grid"/>
    <w:basedOn w:val="Tablanormal"/>
    <w:uiPriority w:val="39"/>
    <w:rsid w:val="00C37CE9"/>
    <w:pPr>
      <w:spacing w:after="0"/>
    </w:pPr>
    <w:rPr>
      <w:kern w:val="2"/>
      <w:sz w:val="22"/>
      <w:szCs w:val="22"/>
      <w:lang w:val="es-MX"/>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rsid w:val="00C37CE9"/>
    <w:pPr>
      <w:ind w:left="720"/>
      <w:contextualSpacing/>
    </w:pPr>
  </w:style>
  <w:style w:type="character" w:customStyle="1" w:styleId="TextoindependienteCar">
    <w:name w:val="Texto independiente Car"/>
    <w:basedOn w:val="Fuentedeprrafopredeter"/>
    <w:link w:val="Textoindependiente"/>
    <w:rsid w:val="00C434CC"/>
    <w:rPr>
      <w:lang w:val="es-MX"/>
    </w:rPr>
  </w:style>
  <w:style w:type="character" w:styleId="Textoennegrita">
    <w:name w:val="Strong"/>
    <w:basedOn w:val="Fuentedeprrafopredeter"/>
    <w:uiPriority w:val="22"/>
    <w:qFormat/>
    <w:rsid w:val="00875EDE"/>
    <w:rPr>
      <w:b/>
      <w:bCs/>
    </w:rPr>
  </w:style>
  <w:style w:type="paragraph" w:styleId="NormalWeb">
    <w:name w:val="Normal (Web)"/>
    <w:basedOn w:val="Normal"/>
    <w:uiPriority w:val="99"/>
    <w:unhideWhenUsed/>
    <w:rsid w:val="00A7428B"/>
    <w:pPr>
      <w:spacing w:before="100" w:beforeAutospacing="1" w:after="100" w:afterAutospacing="1"/>
    </w:pPr>
    <w:rPr>
      <w:rFonts w:ascii="Times New Roman" w:eastAsia="Times New Roman" w:hAnsi="Times New Roman"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8</Pages>
  <Words>1737</Words>
  <Characters>9556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Emanuel Simon</dc:creator>
  <cp:keywords/>
  <cp:lastModifiedBy>Emanuel Simon</cp:lastModifiedBy>
  <cp:revision>18</cp:revision>
  <dcterms:created xsi:type="dcterms:W3CDTF">2026-01-07T17:41:00Z</dcterms:created>
  <dcterms:modified xsi:type="dcterms:W3CDTF">2026-03-12T15:29:00Z</dcterms:modified>
</cp:coreProperties>
</file>