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82A" w:rsidRDefault="0005682A" w:rsidP="008450E4">
      <w:pPr>
        <w:shd w:val="clear" w:color="auto" w:fill="FFFFFF"/>
        <w:spacing w:before="161" w:after="225" w:line="288" w:lineRule="atLeast"/>
        <w:jc w:val="center"/>
        <w:outlineLvl w:val="0"/>
        <w:rPr>
          <w:rFonts w:ascii="Arial" w:eastAsia="Times New Roman" w:hAnsi="Arial" w:cs="Arial"/>
          <w:b/>
          <w:color w:val="4688C8"/>
          <w:kern w:val="36"/>
          <w:sz w:val="32"/>
          <w:szCs w:val="45"/>
        </w:rPr>
      </w:pPr>
      <w:r>
        <w:rPr>
          <w:rFonts w:ascii="Arial" w:eastAsia="Times New Roman" w:hAnsi="Arial" w:cs="Arial"/>
          <w:b/>
          <w:color w:val="4688C8"/>
          <w:kern w:val="36"/>
          <w:sz w:val="32"/>
          <w:szCs w:val="45"/>
        </w:rPr>
        <w:t>CODEX ALIMENTARIUS INTERNATIONAL FOOD STANDARDS (FAO and WHO of United Nations)</w:t>
      </w:r>
    </w:p>
    <w:p w:rsidR="002D19DE" w:rsidRDefault="002D19DE" w:rsidP="002D19DE">
      <w:pPr>
        <w:shd w:val="clear" w:color="auto" w:fill="FFFFFF"/>
        <w:spacing w:before="161" w:after="225" w:line="288" w:lineRule="atLeast"/>
        <w:jc w:val="center"/>
        <w:outlineLvl w:val="0"/>
        <w:rPr>
          <w:rFonts w:ascii="Arial" w:eastAsia="Times New Roman" w:hAnsi="Arial" w:cs="Arial"/>
          <w:b/>
          <w:color w:val="4688C8"/>
          <w:kern w:val="36"/>
          <w:sz w:val="32"/>
          <w:szCs w:val="45"/>
        </w:rPr>
      </w:pPr>
      <w:r w:rsidRPr="002D19DE">
        <w:rPr>
          <w:rFonts w:ascii="Arial" w:eastAsia="Times New Roman" w:hAnsi="Arial" w:cs="Arial"/>
          <w:b/>
          <w:color w:val="4688C8"/>
          <w:kern w:val="36"/>
          <w:sz w:val="32"/>
          <w:szCs w:val="45"/>
        </w:rPr>
        <w:t>Codex Pesticides Residues in Food Online Database</w:t>
      </w:r>
    </w:p>
    <w:p w:rsidR="002D19DE" w:rsidRPr="002D19DE" w:rsidRDefault="002D19DE" w:rsidP="002D19DE">
      <w:pPr>
        <w:shd w:val="clear" w:color="auto" w:fill="FFFFFF"/>
        <w:spacing w:before="161" w:after="225" w:line="288" w:lineRule="atLeast"/>
        <w:jc w:val="both"/>
        <w:outlineLvl w:val="0"/>
        <w:rPr>
          <w:rFonts w:ascii="Arial" w:eastAsia="Times New Roman" w:hAnsi="Arial" w:cs="Arial"/>
          <w:b/>
          <w:color w:val="4688C8"/>
          <w:kern w:val="36"/>
        </w:rPr>
      </w:pPr>
    </w:p>
    <w:p w:rsidR="002D19DE" w:rsidRPr="002D19DE" w:rsidRDefault="002D19DE" w:rsidP="00DD5861">
      <w:pPr>
        <w:shd w:val="clear" w:color="auto" w:fill="FFFFFF"/>
        <w:spacing w:after="240" w:line="360" w:lineRule="auto"/>
        <w:jc w:val="both"/>
        <w:rPr>
          <w:rFonts w:ascii="Arial" w:eastAsia="Times New Roman" w:hAnsi="Arial" w:cs="Arial"/>
          <w:color w:val="003B43"/>
        </w:rPr>
      </w:pPr>
      <w:r w:rsidRPr="002D19DE">
        <w:rPr>
          <w:rFonts w:ascii="Arial" w:eastAsia="Times New Roman" w:hAnsi="Arial" w:cs="Arial"/>
          <w:color w:val="003B43"/>
        </w:rPr>
        <w:t>This database contains </w:t>
      </w:r>
      <w:r w:rsidRPr="002D19DE">
        <w:rPr>
          <w:rFonts w:ascii="Arial" w:eastAsia="Times New Roman" w:hAnsi="Arial" w:cs="Arial"/>
          <w:b/>
          <w:bCs/>
          <w:color w:val="003B43"/>
        </w:rPr>
        <w:t>Codex Maximum Residue Limits</w:t>
      </w:r>
      <w:r w:rsidRPr="002D19DE">
        <w:rPr>
          <w:rFonts w:ascii="Arial" w:eastAsia="Times New Roman" w:hAnsi="Arial" w:cs="Arial"/>
          <w:color w:val="003B43"/>
        </w:rPr>
        <w:t> for Pesticides and </w:t>
      </w:r>
      <w:r w:rsidRPr="002D19DE">
        <w:rPr>
          <w:rFonts w:ascii="Arial" w:eastAsia="Times New Roman" w:hAnsi="Arial" w:cs="Arial"/>
          <w:b/>
          <w:bCs/>
          <w:color w:val="003B43"/>
        </w:rPr>
        <w:t>Extraneous Maximum Residue Limits</w:t>
      </w:r>
      <w:r w:rsidRPr="002D19DE">
        <w:rPr>
          <w:rFonts w:ascii="Arial" w:eastAsia="Times New Roman" w:hAnsi="Arial" w:cs="Arial"/>
          <w:color w:val="003B43"/>
        </w:rPr>
        <w:t> adopted by the Codex Alimentarius Commission up to and including its 44</w:t>
      </w:r>
      <w:r w:rsidRPr="002D19DE">
        <w:rPr>
          <w:rFonts w:ascii="Arial" w:eastAsia="Times New Roman" w:hAnsi="Arial" w:cs="Arial"/>
          <w:color w:val="003B43"/>
          <w:vertAlign w:val="superscript"/>
        </w:rPr>
        <w:t>th</w:t>
      </w:r>
      <w:r w:rsidRPr="002D19DE">
        <w:rPr>
          <w:rFonts w:ascii="Arial" w:eastAsia="Times New Roman" w:hAnsi="Arial" w:cs="Arial"/>
          <w:color w:val="003B43"/>
        </w:rPr>
        <w:t> Session (November 2021).</w:t>
      </w:r>
    </w:p>
    <w:p w:rsidR="002D19DE" w:rsidRPr="002D19DE" w:rsidRDefault="002D19DE" w:rsidP="00DD5861">
      <w:pPr>
        <w:shd w:val="clear" w:color="auto" w:fill="FFFFFF"/>
        <w:spacing w:after="240" w:line="360" w:lineRule="auto"/>
        <w:jc w:val="both"/>
        <w:rPr>
          <w:rFonts w:ascii="Arial" w:eastAsia="Times New Roman" w:hAnsi="Arial" w:cs="Arial"/>
          <w:color w:val="003B43"/>
        </w:rPr>
      </w:pPr>
      <w:r w:rsidRPr="002D19DE">
        <w:rPr>
          <w:rFonts w:ascii="Arial" w:eastAsia="Times New Roman" w:hAnsi="Arial" w:cs="Arial"/>
          <w:color w:val="003B43"/>
        </w:rPr>
        <w:t>In the data base a user can obtain information on Codex Maximum Residue Limits (MRLs) and Codex Extraneous Maximum Residue Limits (EMRLs) for pesticide / commodity combinations. Names and definitions of commodities are found in the Codex Classification of Foods and Animal Feeds.</w:t>
      </w:r>
    </w:p>
    <w:p w:rsidR="002D19DE" w:rsidRPr="002D19DE" w:rsidRDefault="002D19DE" w:rsidP="00DD5861">
      <w:pPr>
        <w:shd w:val="clear" w:color="auto" w:fill="FFFFFF"/>
        <w:spacing w:after="240" w:line="360" w:lineRule="auto"/>
        <w:jc w:val="both"/>
        <w:rPr>
          <w:rFonts w:ascii="Arial" w:eastAsia="Times New Roman" w:hAnsi="Arial" w:cs="Arial"/>
          <w:color w:val="003B43"/>
        </w:rPr>
      </w:pPr>
      <w:r w:rsidRPr="002D19DE">
        <w:rPr>
          <w:rFonts w:ascii="Arial" w:eastAsia="Times New Roman" w:hAnsi="Arial" w:cs="Arial"/>
          <w:color w:val="003B43"/>
        </w:rPr>
        <w:t>The foods listed shall not contain more than the MRL or EMRL (in mg/kg) of the pesticide residue (defined in each individual case in the definition of residue) at (a) the point of entry into a country or (b) at the point of entry into trade channels within a country. This maximum limit shall not be exceeded at any time thereafter.</w:t>
      </w:r>
    </w:p>
    <w:p w:rsidR="002D19DE" w:rsidRPr="002D19DE" w:rsidRDefault="002D19DE" w:rsidP="00DD5861">
      <w:pPr>
        <w:shd w:val="clear" w:color="auto" w:fill="FFFFFF"/>
        <w:spacing w:after="240" w:line="360" w:lineRule="auto"/>
        <w:jc w:val="both"/>
        <w:rPr>
          <w:rFonts w:ascii="Arial" w:eastAsia="Times New Roman" w:hAnsi="Arial" w:cs="Arial"/>
          <w:color w:val="003B43"/>
        </w:rPr>
      </w:pPr>
      <w:r w:rsidRPr="002D19DE">
        <w:rPr>
          <w:rFonts w:ascii="Arial" w:eastAsia="Times New Roman" w:hAnsi="Arial" w:cs="Arial"/>
          <w:color w:val="003B43"/>
        </w:rPr>
        <w:t>The MRLs and EMRLs apply to the residue content of the final sample representative of the lot and of the portion of commodities which is analyzed.</w:t>
      </w:r>
    </w:p>
    <w:p w:rsidR="002D19DE" w:rsidRPr="002D19DE" w:rsidRDefault="002D19DE" w:rsidP="00DD5861">
      <w:pPr>
        <w:shd w:val="clear" w:color="auto" w:fill="FFFFFF"/>
        <w:spacing w:after="240" w:line="360" w:lineRule="auto"/>
        <w:jc w:val="both"/>
        <w:rPr>
          <w:rFonts w:ascii="Arial" w:eastAsia="Times New Roman" w:hAnsi="Arial" w:cs="Arial"/>
          <w:color w:val="003B43"/>
        </w:rPr>
      </w:pPr>
      <w:r w:rsidRPr="002D19DE">
        <w:rPr>
          <w:rFonts w:ascii="Arial" w:eastAsia="Times New Roman" w:hAnsi="Arial" w:cs="Arial"/>
          <w:color w:val="003B43"/>
        </w:rPr>
        <w:t>Up to 2016 the Codex Alimentarius Commission has adopted </w:t>
      </w:r>
      <w:r w:rsidRPr="002D19DE">
        <w:rPr>
          <w:rFonts w:ascii="Arial" w:eastAsia="Times New Roman" w:hAnsi="Arial" w:cs="Arial"/>
          <w:b/>
          <w:bCs/>
          <w:color w:val="003B43"/>
        </w:rPr>
        <w:t>4844 MRLs (CXLs)</w:t>
      </w:r>
      <w:r w:rsidRPr="002D19DE">
        <w:rPr>
          <w:rFonts w:ascii="Arial" w:eastAsia="Times New Roman" w:hAnsi="Arial" w:cs="Arial"/>
          <w:color w:val="003B43"/>
        </w:rPr>
        <w:t> for different combinations of pesticide/commodity(</w:t>
      </w:r>
      <w:proofErr w:type="spellStart"/>
      <w:r w:rsidRPr="002D19DE">
        <w:rPr>
          <w:rFonts w:ascii="Arial" w:eastAsia="Times New Roman" w:hAnsi="Arial" w:cs="Arial"/>
          <w:color w:val="003B43"/>
        </w:rPr>
        <w:t>ies</w:t>
      </w:r>
      <w:proofErr w:type="spellEnd"/>
      <w:r w:rsidRPr="002D19DE">
        <w:rPr>
          <w:rFonts w:ascii="Arial" w:eastAsia="Times New Roman" w:hAnsi="Arial" w:cs="Arial"/>
          <w:color w:val="003B43"/>
        </w:rPr>
        <w:t>).</w:t>
      </w:r>
    </w:p>
    <w:p w:rsidR="002D19DE" w:rsidRPr="008450E4" w:rsidRDefault="002D19DE" w:rsidP="00DD5861">
      <w:pPr>
        <w:shd w:val="clear" w:color="auto" w:fill="FFFFFF"/>
        <w:spacing w:after="240" w:line="360" w:lineRule="auto"/>
        <w:jc w:val="both"/>
        <w:rPr>
          <w:rFonts w:ascii="Arial" w:eastAsia="Times New Roman" w:hAnsi="Arial" w:cs="Arial"/>
          <w:iCs/>
          <w:color w:val="003B43"/>
        </w:rPr>
      </w:pPr>
      <w:r w:rsidRPr="008450E4">
        <w:rPr>
          <w:rFonts w:ascii="Arial" w:eastAsia="Times New Roman" w:hAnsi="Arial" w:cs="Arial"/>
          <w:iCs/>
          <w:color w:val="003B43"/>
        </w:rPr>
        <w:t>When searching MRLs for single commodity (e.g. FC 0204 Lemon), please also search MRLs for the corresponding subgroups (e.g. FC 0002 Lemons and Limes) and the corresponding groups (e.g. FC 0001 Citrus Fruits) in order to have the whole spectrum of the Codex MRLs for the commodity.</w:t>
      </w:r>
    </w:p>
    <w:p w:rsidR="00611828" w:rsidRPr="008450E4" w:rsidRDefault="00F23D5D" w:rsidP="00DD5861">
      <w:pPr>
        <w:shd w:val="clear" w:color="auto" w:fill="FFFFFF"/>
        <w:spacing w:after="240" w:line="360" w:lineRule="auto"/>
        <w:jc w:val="both"/>
        <w:rPr>
          <w:rFonts w:ascii="Arial" w:eastAsia="Times New Roman" w:hAnsi="Arial" w:cs="Arial"/>
          <w:color w:val="003B43"/>
        </w:rPr>
      </w:pPr>
      <w:r w:rsidRPr="008450E4">
        <w:rPr>
          <w:rFonts w:ascii="Arial" w:eastAsia="Times New Roman" w:hAnsi="Arial" w:cs="Arial"/>
          <w:color w:val="003B43"/>
        </w:rPr>
        <w:t xml:space="preserve">This database is intended to be an initial reference source only, and users must verify any information obtained from it with knowledgeable parties in the market of interest prior to the sale or shipment of any </w:t>
      </w:r>
      <w:bookmarkStart w:id="0" w:name="_GoBack"/>
      <w:bookmarkEnd w:id="0"/>
      <w:r w:rsidR="00A110E1" w:rsidRPr="008450E4">
        <w:rPr>
          <w:rFonts w:ascii="Arial" w:eastAsia="Times New Roman" w:hAnsi="Arial" w:cs="Arial"/>
          <w:color w:val="003B43"/>
        </w:rPr>
        <w:t>products.</w:t>
      </w:r>
    </w:p>
    <w:p w:rsidR="00DD5861" w:rsidRDefault="00DD5861" w:rsidP="00DD5861">
      <w:pPr>
        <w:shd w:val="clear" w:color="auto" w:fill="FFFFFF"/>
        <w:spacing w:after="240" w:line="240" w:lineRule="auto"/>
        <w:jc w:val="both"/>
        <w:rPr>
          <w:rFonts w:ascii="Arial" w:eastAsia="Times New Roman" w:hAnsi="Arial" w:cs="Arial"/>
          <w:i/>
          <w:iCs/>
          <w:color w:val="003B43"/>
          <w:sz w:val="24"/>
        </w:rPr>
      </w:pPr>
    </w:p>
    <w:p w:rsidR="00DD5861" w:rsidRPr="002D19DE" w:rsidRDefault="00DD5861" w:rsidP="00DD5861">
      <w:pPr>
        <w:shd w:val="clear" w:color="auto" w:fill="FFFFFF"/>
        <w:spacing w:after="240" w:line="240" w:lineRule="auto"/>
        <w:jc w:val="both"/>
        <w:rPr>
          <w:rFonts w:ascii="Arial" w:eastAsia="Times New Roman" w:hAnsi="Arial" w:cs="Arial"/>
          <w:i/>
          <w:iCs/>
          <w:color w:val="003B43"/>
          <w:sz w:val="24"/>
        </w:rPr>
      </w:pPr>
      <w:r w:rsidRPr="002D19DE">
        <w:rPr>
          <w:rFonts w:ascii="Arial" w:eastAsia="Times New Roman" w:hAnsi="Arial" w:cs="Arial"/>
          <w:i/>
          <w:iCs/>
          <w:color w:val="003B43"/>
          <w:sz w:val="24"/>
        </w:rPr>
        <w:lastRenderedPageBreak/>
        <w:t>Link</w:t>
      </w:r>
      <w:r>
        <w:rPr>
          <w:rFonts w:ascii="Arial" w:eastAsia="Times New Roman" w:hAnsi="Arial" w:cs="Arial"/>
          <w:i/>
          <w:iCs/>
          <w:color w:val="003B43"/>
          <w:sz w:val="24"/>
        </w:rPr>
        <w:t>:</w:t>
      </w:r>
    </w:p>
    <w:p w:rsidR="00DD5861" w:rsidRDefault="00DD5861" w:rsidP="00DD5861">
      <w:pPr>
        <w:jc w:val="both"/>
        <w:rPr>
          <w:rFonts w:ascii="Arial" w:hAnsi="Arial" w:cs="Arial"/>
          <w:sz w:val="24"/>
        </w:rPr>
      </w:pPr>
      <w:hyperlink r:id="rId4" w:history="1">
        <w:r w:rsidRPr="00AF184C">
          <w:rPr>
            <w:rStyle w:val="Hyperlink"/>
            <w:rFonts w:ascii="Arial" w:hAnsi="Arial" w:cs="Arial"/>
            <w:sz w:val="24"/>
          </w:rPr>
          <w:t>https://www.fao.org/fao-who-codexalimentarius/codex-texts/dbs/pestres/en/</w:t>
        </w:r>
      </w:hyperlink>
    </w:p>
    <w:p w:rsidR="00DD5861" w:rsidRDefault="00DD5861" w:rsidP="00DD5861">
      <w:pPr>
        <w:jc w:val="both"/>
        <w:rPr>
          <w:rFonts w:ascii="Arial" w:hAnsi="Arial" w:cs="Arial"/>
          <w:sz w:val="24"/>
        </w:rPr>
      </w:pPr>
      <w:r>
        <w:rPr>
          <w:rFonts w:ascii="Arial" w:hAnsi="Arial" w:cs="Arial"/>
          <w:sz w:val="24"/>
        </w:rPr>
        <w:t>Document Name: Codex Pesticides Residues in Food Online Database</w:t>
      </w:r>
    </w:p>
    <w:p w:rsidR="00DD5861" w:rsidRPr="002D19DE" w:rsidRDefault="00DD5861" w:rsidP="00DD5861">
      <w:pPr>
        <w:jc w:val="both"/>
        <w:rPr>
          <w:rFonts w:ascii="Arial" w:hAnsi="Arial" w:cs="Arial"/>
          <w:sz w:val="24"/>
        </w:rPr>
      </w:pPr>
      <w:r>
        <w:rPr>
          <w:rFonts w:ascii="Arial" w:hAnsi="Arial" w:cs="Arial"/>
          <w:sz w:val="24"/>
        </w:rPr>
        <w:t xml:space="preserve">Document Source: Codex </w:t>
      </w:r>
      <w:proofErr w:type="spellStart"/>
      <w:r>
        <w:rPr>
          <w:rFonts w:ascii="Arial" w:hAnsi="Arial" w:cs="Arial"/>
          <w:sz w:val="24"/>
        </w:rPr>
        <w:t>Alimentarius</w:t>
      </w:r>
      <w:proofErr w:type="spellEnd"/>
      <w:r>
        <w:rPr>
          <w:rFonts w:ascii="Arial" w:hAnsi="Arial" w:cs="Arial"/>
          <w:sz w:val="24"/>
        </w:rPr>
        <w:t xml:space="preserve"> International Food standards (FAO and WHO)</w:t>
      </w:r>
    </w:p>
    <w:p w:rsidR="00570925" w:rsidRDefault="00570925"/>
    <w:sectPr w:rsidR="00570925" w:rsidSect="005709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D19DE"/>
    <w:rsid w:val="0005682A"/>
    <w:rsid w:val="002C1B64"/>
    <w:rsid w:val="002D19DE"/>
    <w:rsid w:val="00346387"/>
    <w:rsid w:val="00485400"/>
    <w:rsid w:val="00570925"/>
    <w:rsid w:val="00611828"/>
    <w:rsid w:val="00744BBF"/>
    <w:rsid w:val="008450E4"/>
    <w:rsid w:val="00A110E1"/>
    <w:rsid w:val="00DD5861"/>
    <w:rsid w:val="00F23D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4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638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638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ao.org/fao-who-codexalimentarius/codex-texts/dbs/pestres/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eFresh</dc:creator>
  <cp:lastModifiedBy>eFresh</cp:lastModifiedBy>
  <cp:revision>10</cp:revision>
  <cp:lastPrinted>2022-12-12T08:54:00Z</cp:lastPrinted>
  <dcterms:created xsi:type="dcterms:W3CDTF">2022-12-08T05:30:00Z</dcterms:created>
  <dcterms:modified xsi:type="dcterms:W3CDTF">2022-12-12T08:55:00Z</dcterms:modified>
</cp:coreProperties>
</file>