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1567" w14:textId="77777777" w:rsidR="008C768A" w:rsidRPr="008C768A" w:rsidRDefault="008C768A" w:rsidP="008C768A">
      <w:pPr>
        <w:jc w:val="center"/>
        <w:rPr>
          <w:sz w:val="48"/>
          <w:szCs w:val="48"/>
        </w:rPr>
      </w:pPr>
      <w:r w:rsidRPr="008C768A">
        <w:rPr>
          <w:b/>
          <w:bCs/>
          <w:sz w:val="48"/>
          <w:szCs w:val="48"/>
        </w:rPr>
        <w:t>Tech Stock Analysis and Forecasting Report</w:t>
      </w:r>
    </w:p>
    <w:p w14:paraId="56844443" w14:textId="3B29AE6B" w:rsidR="008C768A" w:rsidRPr="008C768A" w:rsidRDefault="008C768A" w:rsidP="008C768A">
      <w:pPr>
        <w:rPr>
          <w:b/>
          <w:bCs/>
          <w:sz w:val="24"/>
          <w:szCs w:val="24"/>
        </w:rPr>
      </w:pPr>
      <w:r w:rsidRPr="008C768A">
        <w:rPr>
          <w:b/>
          <w:bCs/>
          <w:sz w:val="24"/>
          <w:szCs w:val="24"/>
        </w:rPr>
        <w:t>1.Introduction</w:t>
      </w:r>
    </w:p>
    <w:p w14:paraId="2B3BB4A7" w14:textId="723112E0" w:rsidR="008C768A" w:rsidRPr="008C768A" w:rsidRDefault="008C768A" w:rsidP="008C768A">
      <w:r w:rsidRPr="008C768A">
        <w:t>The purpose of this analysis is to evaluate the stock performance of major technology companies, including Apple, Microsoft, Netflix, and Google, using statistical and machine learning techniques. The ARIMA (</w:t>
      </w:r>
      <w:r w:rsidRPr="008C768A">
        <w:t>Autoregressive</w:t>
      </w:r>
      <w:r w:rsidRPr="008C768A">
        <w:t xml:space="preserve"> Integrated Moving Average) model was employed to </w:t>
      </w:r>
      <w:r w:rsidRPr="008C768A">
        <w:t>analyse</w:t>
      </w:r>
      <w:r w:rsidRPr="008C768A">
        <w:t xml:space="preserve"> past stock trends and forecast future prices.</w:t>
      </w:r>
    </w:p>
    <w:p w14:paraId="2C8E3D3E" w14:textId="77777777" w:rsidR="008C768A" w:rsidRPr="008C768A" w:rsidRDefault="008C768A" w:rsidP="008C768A">
      <w:r w:rsidRPr="008C768A">
        <w:t>The advantage of using ARIMA over other forecasting techniques such as Naïve Bayes, Seasonal Naïve, Trend Naïve, and Moving Average is its ability to predict stock values over an extended period rather than just the next day.</w:t>
      </w:r>
    </w:p>
    <w:p w14:paraId="67D02D71" w14:textId="77777777" w:rsidR="008C768A" w:rsidRPr="008C768A" w:rsidRDefault="008C768A" w:rsidP="008C768A">
      <w:r w:rsidRPr="008C768A">
        <w:pict w14:anchorId="6A669B6A">
          <v:rect id="_x0000_i1049" style="width:0;height:1.5pt" o:hralign="center" o:hrstd="t" o:hr="t" fillcolor="#a0a0a0" stroked="f"/>
        </w:pict>
      </w:r>
    </w:p>
    <w:p w14:paraId="386C318D" w14:textId="77777777" w:rsidR="008C768A" w:rsidRPr="008C768A" w:rsidRDefault="008C768A" w:rsidP="008C768A">
      <w:pPr>
        <w:rPr>
          <w:b/>
          <w:bCs/>
          <w:sz w:val="24"/>
          <w:szCs w:val="24"/>
        </w:rPr>
      </w:pPr>
      <w:r w:rsidRPr="008C768A">
        <w:rPr>
          <w:b/>
          <w:bCs/>
          <w:sz w:val="24"/>
          <w:szCs w:val="24"/>
        </w:rPr>
        <w:t>2. Data Analysis and Visualization</w:t>
      </w:r>
    </w:p>
    <w:p w14:paraId="29B5BE79" w14:textId="77777777" w:rsidR="008C768A" w:rsidRPr="008C768A" w:rsidRDefault="008C768A" w:rsidP="008C768A">
      <w:pPr>
        <w:rPr>
          <w:b/>
          <w:bCs/>
        </w:rPr>
      </w:pPr>
      <w:r w:rsidRPr="008C768A">
        <w:rPr>
          <w:b/>
          <w:bCs/>
        </w:rPr>
        <w:t>2.1 Stock Performance Analysis</w:t>
      </w:r>
    </w:p>
    <w:p w14:paraId="3C58F00A" w14:textId="77777777" w:rsidR="008C768A" w:rsidRPr="008C768A" w:rsidRDefault="008C768A" w:rsidP="008C768A">
      <w:r w:rsidRPr="008C768A">
        <w:t>The stock analysis was conducted to observe the price fluctuation trends over a period. The results were visualized in a dashboard showing the daily delta (change in stock value) for each company.</w:t>
      </w:r>
    </w:p>
    <w:p w14:paraId="3AFD7F6F" w14:textId="77777777" w:rsidR="008C768A" w:rsidRPr="008C768A" w:rsidRDefault="008C768A" w:rsidP="008C768A">
      <w:pPr>
        <w:numPr>
          <w:ilvl w:val="0"/>
          <w:numId w:val="1"/>
        </w:numPr>
      </w:pPr>
      <w:r w:rsidRPr="008C768A">
        <w:rPr>
          <w:b/>
          <w:bCs/>
        </w:rPr>
        <w:t>Apple (AAPL):</w:t>
      </w:r>
      <w:r w:rsidRPr="008C768A">
        <w:t xml:space="preserve"> Stock values showed moderate fluctuations, maintaining an overall stable trend.</w:t>
      </w:r>
    </w:p>
    <w:p w14:paraId="2A0E89F6" w14:textId="77777777" w:rsidR="008C768A" w:rsidRPr="008C768A" w:rsidRDefault="008C768A" w:rsidP="008C768A">
      <w:pPr>
        <w:numPr>
          <w:ilvl w:val="0"/>
          <w:numId w:val="1"/>
        </w:numPr>
      </w:pPr>
      <w:r w:rsidRPr="008C768A">
        <w:rPr>
          <w:b/>
          <w:bCs/>
        </w:rPr>
        <w:t>Microsoft (MSFT):</w:t>
      </w:r>
      <w:r w:rsidRPr="008C768A">
        <w:t xml:space="preserve"> Consistent performance with minor fluctuations; occasional sharp increases.</w:t>
      </w:r>
    </w:p>
    <w:p w14:paraId="0ACF6488" w14:textId="77777777" w:rsidR="008C768A" w:rsidRPr="008C768A" w:rsidRDefault="008C768A" w:rsidP="008C768A">
      <w:pPr>
        <w:numPr>
          <w:ilvl w:val="0"/>
          <w:numId w:val="1"/>
        </w:numPr>
      </w:pPr>
      <w:r w:rsidRPr="008C768A">
        <w:rPr>
          <w:b/>
          <w:bCs/>
        </w:rPr>
        <w:t>Netflix (NFLX):</w:t>
      </w:r>
      <w:r w:rsidRPr="008C768A">
        <w:t xml:space="preserve"> High volatility with notable dips, reflecting a fluctuating market trend.</w:t>
      </w:r>
    </w:p>
    <w:p w14:paraId="515077CB" w14:textId="77777777" w:rsidR="008C768A" w:rsidRPr="008C768A" w:rsidRDefault="008C768A" w:rsidP="008C768A">
      <w:pPr>
        <w:numPr>
          <w:ilvl w:val="0"/>
          <w:numId w:val="1"/>
        </w:numPr>
      </w:pPr>
      <w:r w:rsidRPr="008C768A">
        <w:rPr>
          <w:b/>
          <w:bCs/>
        </w:rPr>
        <w:t>Google (GOOGL):</w:t>
      </w:r>
      <w:r w:rsidRPr="008C768A">
        <w:t xml:space="preserve"> Steady growth with slight variations over time.</w:t>
      </w:r>
    </w:p>
    <w:p w14:paraId="17107E0A" w14:textId="77777777" w:rsidR="008C768A" w:rsidRPr="008C768A" w:rsidRDefault="008C768A" w:rsidP="008C768A">
      <w:r w:rsidRPr="008C768A">
        <w:pict w14:anchorId="7D652605">
          <v:rect id="_x0000_i1050" style="width:0;height:1.5pt" o:hralign="center" o:hrstd="t" o:hr="t" fillcolor="#a0a0a0" stroked="f"/>
        </w:pict>
      </w:r>
    </w:p>
    <w:p w14:paraId="6EC0108F" w14:textId="77777777" w:rsidR="008C768A" w:rsidRPr="008C768A" w:rsidRDefault="008C768A" w:rsidP="008C768A">
      <w:pPr>
        <w:rPr>
          <w:b/>
          <w:bCs/>
          <w:sz w:val="24"/>
          <w:szCs w:val="24"/>
        </w:rPr>
      </w:pPr>
      <w:r w:rsidRPr="008C768A">
        <w:rPr>
          <w:b/>
          <w:bCs/>
          <w:sz w:val="24"/>
          <w:szCs w:val="24"/>
        </w:rPr>
        <w:t>3. Forecasting using ARIMA Model</w:t>
      </w:r>
    </w:p>
    <w:p w14:paraId="5948305D" w14:textId="77777777" w:rsidR="008C768A" w:rsidRPr="008C768A" w:rsidRDefault="008C768A" w:rsidP="008C768A">
      <w:r w:rsidRPr="008C768A">
        <w:t>The ARIMA model was applied to predict stock values for the upcoming period. The forecasted trends were visualized, indicating the expected performance of each stock.</w:t>
      </w:r>
    </w:p>
    <w:p w14:paraId="417447B6" w14:textId="77777777" w:rsidR="008C768A" w:rsidRPr="008C768A" w:rsidRDefault="008C768A" w:rsidP="008C768A">
      <w:pPr>
        <w:numPr>
          <w:ilvl w:val="0"/>
          <w:numId w:val="2"/>
        </w:numPr>
      </w:pPr>
      <w:r w:rsidRPr="008C768A">
        <w:rPr>
          <w:b/>
          <w:bCs/>
        </w:rPr>
        <w:t>Apple:</w:t>
      </w:r>
      <w:r w:rsidRPr="008C768A">
        <w:t xml:space="preserve"> The stock is projected to grow steadily.</w:t>
      </w:r>
    </w:p>
    <w:p w14:paraId="24EFE87C" w14:textId="77777777" w:rsidR="008C768A" w:rsidRPr="008C768A" w:rsidRDefault="008C768A" w:rsidP="008C768A">
      <w:pPr>
        <w:numPr>
          <w:ilvl w:val="0"/>
          <w:numId w:val="2"/>
        </w:numPr>
      </w:pPr>
      <w:r w:rsidRPr="008C768A">
        <w:rPr>
          <w:b/>
          <w:bCs/>
        </w:rPr>
        <w:t>Microsoft</w:t>
      </w:r>
      <w:r w:rsidRPr="008C768A">
        <w:t>: Expected to experience an upward trend with potential growth.</w:t>
      </w:r>
    </w:p>
    <w:p w14:paraId="22B6AEF2" w14:textId="77777777" w:rsidR="008C768A" w:rsidRPr="008C768A" w:rsidRDefault="008C768A" w:rsidP="008C768A">
      <w:pPr>
        <w:numPr>
          <w:ilvl w:val="0"/>
          <w:numId w:val="2"/>
        </w:numPr>
      </w:pPr>
      <w:r w:rsidRPr="008C768A">
        <w:rPr>
          <w:b/>
          <w:bCs/>
        </w:rPr>
        <w:t>Netflix:</w:t>
      </w:r>
      <w:r w:rsidRPr="008C768A">
        <w:t xml:space="preserve"> A downward trend is forecasted, indicating possible market instability.</w:t>
      </w:r>
    </w:p>
    <w:p w14:paraId="556241D8" w14:textId="77777777" w:rsidR="008C768A" w:rsidRPr="008C768A" w:rsidRDefault="008C768A" w:rsidP="008C768A">
      <w:pPr>
        <w:numPr>
          <w:ilvl w:val="0"/>
          <w:numId w:val="2"/>
        </w:numPr>
      </w:pPr>
      <w:r w:rsidRPr="008C768A">
        <w:rPr>
          <w:b/>
          <w:bCs/>
        </w:rPr>
        <w:t>Google</w:t>
      </w:r>
      <w:r w:rsidRPr="008C768A">
        <w:t>: Moderate upward trend, reflecting potential growth.</w:t>
      </w:r>
    </w:p>
    <w:p w14:paraId="3584E3B2" w14:textId="77777777" w:rsidR="008C768A" w:rsidRPr="008C768A" w:rsidRDefault="008C768A" w:rsidP="008C768A">
      <w:r w:rsidRPr="008C768A">
        <w:pict w14:anchorId="2C7078F7">
          <v:rect id="_x0000_i1051" style="width:0;height:1.5pt" o:hralign="center" o:hrstd="t" o:hr="t" fillcolor="#a0a0a0" stroked="f"/>
        </w:pict>
      </w:r>
    </w:p>
    <w:p w14:paraId="461FF08A" w14:textId="77777777" w:rsidR="008C768A" w:rsidRPr="008C768A" w:rsidRDefault="008C768A" w:rsidP="008C768A">
      <w:pPr>
        <w:rPr>
          <w:b/>
          <w:bCs/>
          <w:sz w:val="24"/>
          <w:szCs w:val="24"/>
        </w:rPr>
      </w:pPr>
      <w:r w:rsidRPr="008C768A">
        <w:rPr>
          <w:b/>
          <w:bCs/>
          <w:sz w:val="24"/>
          <w:szCs w:val="24"/>
        </w:rPr>
        <w:t>4. Key Findings and Insights</w:t>
      </w:r>
    </w:p>
    <w:p w14:paraId="525BC5E8" w14:textId="77777777" w:rsidR="008C768A" w:rsidRPr="008C768A" w:rsidRDefault="008C768A" w:rsidP="008C768A">
      <w:pPr>
        <w:numPr>
          <w:ilvl w:val="0"/>
          <w:numId w:val="3"/>
        </w:numPr>
      </w:pPr>
      <w:r w:rsidRPr="008C768A">
        <w:t>Apple and Microsoft are expected to maintain steady growth, making them relatively safer investment options.</w:t>
      </w:r>
    </w:p>
    <w:p w14:paraId="25C44514" w14:textId="77777777" w:rsidR="008C768A" w:rsidRPr="008C768A" w:rsidRDefault="008C768A" w:rsidP="008C768A">
      <w:pPr>
        <w:numPr>
          <w:ilvl w:val="0"/>
          <w:numId w:val="3"/>
        </w:numPr>
      </w:pPr>
      <w:r w:rsidRPr="008C768A">
        <w:t>Netflix exhibits high volatility and is expected to decline, indicating a need for cautious investment.</w:t>
      </w:r>
    </w:p>
    <w:p w14:paraId="759AC40A" w14:textId="77777777" w:rsidR="008C768A" w:rsidRPr="008C768A" w:rsidRDefault="008C768A" w:rsidP="008C768A">
      <w:pPr>
        <w:numPr>
          <w:ilvl w:val="0"/>
          <w:numId w:val="3"/>
        </w:numPr>
      </w:pPr>
      <w:r w:rsidRPr="008C768A">
        <w:lastRenderedPageBreak/>
        <w:t>Google shows a positive growth trend, making it a potentially good investment opportunity.</w:t>
      </w:r>
    </w:p>
    <w:p w14:paraId="4D5FA12D" w14:textId="77777777" w:rsidR="008C768A" w:rsidRPr="008C768A" w:rsidRDefault="008C768A" w:rsidP="008C768A">
      <w:pPr>
        <w:numPr>
          <w:ilvl w:val="0"/>
          <w:numId w:val="3"/>
        </w:numPr>
      </w:pPr>
      <w:r w:rsidRPr="008C768A">
        <w:t>The ARIMA model effectively predicts trends over a longer period compared to other traditional forecasting models.</w:t>
      </w:r>
    </w:p>
    <w:p w14:paraId="68B72AC4" w14:textId="77777777" w:rsidR="008C768A" w:rsidRPr="008C768A" w:rsidRDefault="008C768A" w:rsidP="008C768A">
      <w:r w:rsidRPr="008C768A">
        <w:pict w14:anchorId="71DD6BFA">
          <v:rect id="_x0000_i1052" style="width:0;height:1.5pt" o:hralign="center" o:hrstd="t" o:hr="t" fillcolor="#a0a0a0" stroked="f"/>
        </w:pict>
      </w:r>
    </w:p>
    <w:p w14:paraId="55F07EDD" w14:textId="77777777" w:rsidR="008C768A" w:rsidRPr="008C768A" w:rsidRDefault="008C768A" w:rsidP="008C768A">
      <w:pPr>
        <w:rPr>
          <w:b/>
          <w:bCs/>
          <w:sz w:val="24"/>
          <w:szCs w:val="24"/>
        </w:rPr>
      </w:pPr>
      <w:r w:rsidRPr="008C768A">
        <w:rPr>
          <w:b/>
          <w:bCs/>
          <w:sz w:val="24"/>
          <w:szCs w:val="24"/>
        </w:rPr>
        <w:t>5. Conclusion and Recommendations</w:t>
      </w:r>
    </w:p>
    <w:p w14:paraId="063FC013" w14:textId="77777777" w:rsidR="008C768A" w:rsidRPr="008C768A" w:rsidRDefault="008C768A" w:rsidP="008C768A">
      <w:r w:rsidRPr="008C768A">
        <w:t>Based on the analysis and forecasting results:</w:t>
      </w:r>
    </w:p>
    <w:p w14:paraId="56B85FEF" w14:textId="77777777" w:rsidR="008C768A" w:rsidRPr="008C768A" w:rsidRDefault="008C768A" w:rsidP="008C768A">
      <w:pPr>
        <w:numPr>
          <w:ilvl w:val="0"/>
          <w:numId w:val="4"/>
        </w:numPr>
      </w:pPr>
      <w:r w:rsidRPr="008C768A">
        <w:t>Investors looking for stable and growing stocks should consider Apple and Microsoft.</w:t>
      </w:r>
    </w:p>
    <w:p w14:paraId="7A453527" w14:textId="77777777" w:rsidR="008C768A" w:rsidRPr="008C768A" w:rsidRDefault="008C768A" w:rsidP="008C768A">
      <w:pPr>
        <w:numPr>
          <w:ilvl w:val="0"/>
          <w:numId w:val="4"/>
        </w:numPr>
      </w:pPr>
      <w:r w:rsidRPr="008C768A">
        <w:t>Caution is advised when investing in Netflix, as it shows a declining trend.</w:t>
      </w:r>
    </w:p>
    <w:p w14:paraId="4C15177F" w14:textId="77777777" w:rsidR="008C768A" w:rsidRPr="008C768A" w:rsidRDefault="008C768A" w:rsidP="008C768A">
      <w:pPr>
        <w:numPr>
          <w:ilvl w:val="0"/>
          <w:numId w:val="4"/>
        </w:numPr>
      </w:pPr>
      <w:r w:rsidRPr="008C768A">
        <w:t>Google presents a promising investment with moderate expected growth.</w:t>
      </w:r>
    </w:p>
    <w:p w14:paraId="70598D3C" w14:textId="3B91A1DC" w:rsidR="008C768A" w:rsidRDefault="008C768A" w:rsidP="008C768A">
      <w:pPr>
        <w:numPr>
          <w:ilvl w:val="0"/>
          <w:numId w:val="4"/>
        </w:numPr>
      </w:pPr>
      <w:r w:rsidRPr="008C768A">
        <w:t>The ARIMA model has proven to be a useful tool for time-series forecasting and can be further refined with additional external factors such as market news, economic indicators, and investor sentiment.</w:t>
      </w:r>
    </w:p>
    <w:p w14:paraId="48DCD3C0" w14:textId="530A493F" w:rsidR="008C768A" w:rsidRDefault="008C768A" w:rsidP="008C768A">
      <w:pPr>
        <w:pStyle w:val="NormalWeb"/>
      </w:pPr>
      <w:r w:rsidRPr="008C768A">
        <w:pict w14:anchorId="5AB45413">
          <v:rect id="_x0000_i1057" style="width:0;height:1.5pt" o:hralign="center" o:hrstd="t" o:hr="t" fillcolor="#a0a0a0" stroked="f"/>
        </w:pict>
      </w:r>
    </w:p>
    <w:p w14:paraId="50FDDF37" w14:textId="7F966CE7" w:rsidR="008C768A" w:rsidRPr="008C768A" w:rsidRDefault="008C768A" w:rsidP="008C768A">
      <w:pPr>
        <w:pStyle w:val="NormalWeb"/>
        <w:rPr>
          <w:sz w:val="22"/>
          <w:szCs w:val="22"/>
        </w:rPr>
      </w:pPr>
      <w:r w:rsidRPr="008C768A">
        <w:rPr>
          <w:sz w:val="22"/>
          <w:szCs w:val="22"/>
        </w:rPr>
        <w:t>This report provides a detailed evaluation of stock trends and future predictions, aiding investors in making informed decisions based on data-driven insights.</w:t>
      </w:r>
    </w:p>
    <w:p w14:paraId="3D0702A9" w14:textId="77777777" w:rsidR="008C768A" w:rsidRPr="008C768A" w:rsidRDefault="008C768A" w:rsidP="008C768A"/>
    <w:p w14:paraId="4DD3956C" w14:textId="77777777" w:rsidR="008C768A" w:rsidRDefault="008C768A" w:rsidP="008C768A">
      <w:pPr>
        <w:pStyle w:val="NormalWeb"/>
        <w:ind w:left="720"/>
      </w:pPr>
    </w:p>
    <w:p w14:paraId="5E59F088" w14:textId="77777777" w:rsidR="00FB58BA" w:rsidRDefault="00FB58BA"/>
    <w:sectPr w:rsidR="00FB5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03F52"/>
    <w:multiLevelType w:val="multilevel"/>
    <w:tmpl w:val="E2AA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A4A94"/>
    <w:multiLevelType w:val="multilevel"/>
    <w:tmpl w:val="953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30987"/>
    <w:multiLevelType w:val="multilevel"/>
    <w:tmpl w:val="874A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80C99"/>
    <w:multiLevelType w:val="multilevel"/>
    <w:tmpl w:val="F56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045366">
    <w:abstractNumId w:val="2"/>
  </w:num>
  <w:num w:numId="2" w16cid:durableId="1727802331">
    <w:abstractNumId w:val="1"/>
  </w:num>
  <w:num w:numId="3" w16cid:durableId="1497844240">
    <w:abstractNumId w:val="0"/>
  </w:num>
  <w:num w:numId="4" w16cid:durableId="1583417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8A"/>
    <w:rsid w:val="000819D4"/>
    <w:rsid w:val="006C5F51"/>
    <w:rsid w:val="008C768A"/>
    <w:rsid w:val="00A8540A"/>
    <w:rsid w:val="00FB5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3AEB"/>
  <w15:chartTrackingRefBased/>
  <w15:docId w15:val="{1B0A6DD1-9EFA-47CA-9D5F-119E2200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6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6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6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6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6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6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6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6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6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6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68A"/>
    <w:rPr>
      <w:rFonts w:eastAsiaTheme="majorEastAsia" w:cstheme="majorBidi"/>
      <w:color w:val="272727" w:themeColor="text1" w:themeTint="D8"/>
    </w:rPr>
  </w:style>
  <w:style w:type="paragraph" w:styleId="Title">
    <w:name w:val="Title"/>
    <w:basedOn w:val="Normal"/>
    <w:next w:val="Normal"/>
    <w:link w:val="TitleChar"/>
    <w:uiPriority w:val="10"/>
    <w:qFormat/>
    <w:rsid w:val="008C7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68A"/>
    <w:pPr>
      <w:spacing w:before="160"/>
      <w:jc w:val="center"/>
    </w:pPr>
    <w:rPr>
      <w:i/>
      <w:iCs/>
      <w:color w:val="404040" w:themeColor="text1" w:themeTint="BF"/>
    </w:rPr>
  </w:style>
  <w:style w:type="character" w:customStyle="1" w:styleId="QuoteChar">
    <w:name w:val="Quote Char"/>
    <w:basedOn w:val="DefaultParagraphFont"/>
    <w:link w:val="Quote"/>
    <w:uiPriority w:val="29"/>
    <w:rsid w:val="008C768A"/>
    <w:rPr>
      <w:i/>
      <w:iCs/>
      <w:color w:val="404040" w:themeColor="text1" w:themeTint="BF"/>
    </w:rPr>
  </w:style>
  <w:style w:type="paragraph" w:styleId="ListParagraph">
    <w:name w:val="List Paragraph"/>
    <w:basedOn w:val="Normal"/>
    <w:uiPriority w:val="34"/>
    <w:qFormat/>
    <w:rsid w:val="008C768A"/>
    <w:pPr>
      <w:ind w:left="720"/>
      <w:contextualSpacing/>
    </w:pPr>
  </w:style>
  <w:style w:type="character" w:styleId="IntenseEmphasis">
    <w:name w:val="Intense Emphasis"/>
    <w:basedOn w:val="DefaultParagraphFont"/>
    <w:uiPriority w:val="21"/>
    <w:qFormat/>
    <w:rsid w:val="008C768A"/>
    <w:rPr>
      <w:i/>
      <w:iCs/>
      <w:color w:val="2F5496" w:themeColor="accent1" w:themeShade="BF"/>
    </w:rPr>
  </w:style>
  <w:style w:type="paragraph" w:styleId="IntenseQuote">
    <w:name w:val="Intense Quote"/>
    <w:basedOn w:val="Normal"/>
    <w:next w:val="Normal"/>
    <w:link w:val="IntenseQuoteChar"/>
    <w:uiPriority w:val="30"/>
    <w:qFormat/>
    <w:rsid w:val="008C76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68A"/>
    <w:rPr>
      <w:i/>
      <w:iCs/>
      <w:color w:val="2F5496" w:themeColor="accent1" w:themeShade="BF"/>
    </w:rPr>
  </w:style>
  <w:style w:type="character" w:styleId="IntenseReference">
    <w:name w:val="Intense Reference"/>
    <w:basedOn w:val="DefaultParagraphFont"/>
    <w:uiPriority w:val="32"/>
    <w:qFormat/>
    <w:rsid w:val="008C768A"/>
    <w:rPr>
      <w:b/>
      <w:bCs/>
      <w:smallCaps/>
      <w:color w:val="2F5496" w:themeColor="accent1" w:themeShade="BF"/>
      <w:spacing w:val="5"/>
    </w:rPr>
  </w:style>
  <w:style w:type="paragraph" w:styleId="NormalWeb">
    <w:name w:val="Normal (Web)"/>
    <w:basedOn w:val="Normal"/>
    <w:uiPriority w:val="99"/>
    <w:semiHidden/>
    <w:unhideWhenUsed/>
    <w:rsid w:val="008C76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044240">
      <w:bodyDiv w:val="1"/>
      <w:marLeft w:val="0"/>
      <w:marRight w:val="0"/>
      <w:marTop w:val="0"/>
      <w:marBottom w:val="0"/>
      <w:divBdr>
        <w:top w:val="none" w:sz="0" w:space="0" w:color="auto"/>
        <w:left w:val="none" w:sz="0" w:space="0" w:color="auto"/>
        <w:bottom w:val="none" w:sz="0" w:space="0" w:color="auto"/>
        <w:right w:val="none" w:sz="0" w:space="0" w:color="auto"/>
      </w:divBdr>
      <w:divsChild>
        <w:div w:id="549077462">
          <w:marLeft w:val="0"/>
          <w:marRight w:val="0"/>
          <w:marTop w:val="0"/>
          <w:marBottom w:val="0"/>
          <w:divBdr>
            <w:top w:val="none" w:sz="0" w:space="0" w:color="auto"/>
            <w:left w:val="none" w:sz="0" w:space="0" w:color="auto"/>
            <w:bottom w:val="none" w:sz="0" w:space="0" w:color="auto"/>
            <w:right w:val="none" w:sz="0" w:space="0" w:color="auto"/>
          </w:divBdr>
        </w:div>
        <w:div w:id="32780145">
          <w:marLeft w:val="0"/>
          <w:marRight w:val="0"/>
          <w:marTop w:val="0"/>
          <w:marBottom w:val="0"/>
          <w:divBdr>
            <w:top w:val="none" w:sz="0" w:space="0" w:color="auto"/>
            <w:left w:val="none" w:sz="0" w:space="0" w:color="auto"/>
            <w:bottom w:val="none" w:sz="0" w:space="0" w:color="auto"/>
            <w:right w:val="none" w:sz="0" w:space="0" w:color="auto"/>
          </w:divBdr>
        </w:div>
        <w:div w:id="580870928">
          <w:marLeft w:val="0"/>
          <w:marRight w:val="0"/>
          <w:marTop w:val="0"/>
          <w:marBottom w:val="0"/>
          <w:divBdr>
            <w:top w:val="none" w:sz="0" w:space="0" w:color="auto"/>
            <w:left w:val="none" w:sz="0" w:space="0" w:color="auto"/>
            <w:bottom w:val="none" w:sz="0" w:space="0" w:color="auto"/>
            <w:right w:val="none" w:sz="0" w:space="0" w:color="auto"/>
          </w:divBdr>
        </w:div>
        <w:div w:id="234705017">
          <w:marLeft w:val="0"/>
          <w:marRight w:val="0"/>
          <w:marTop w:val="0"/>
          <w:marBottom w:val="0"/>
          <w:divBdr>
            <w:top w:val="none" w:sz="0" w:space="0" w:color="auto"/>
            <w:left w:val="none" w:sz="0" w:space="0" w:color="auto"/>
            <w:bottom w:val="none" w:sz="0" w:space="0" w:color="auto"/>
            <w:right w:val="none" w:sz="0" w:space="0" w:color="auto"/>
          </w:divBdr>
        </w:div>
      </w:divsChild>
    </w:div>
    <w:div w:id="1120949931">
      <w:bodyDiv w:val="1"/>
      <w:marLeft w:val="0"/>
      <w:marRight w:val="0"/>
      <w:marTop w:val="0"/>
      <w:marBottom w:val="0"/>
      <w:divBdr>
        <w:top w:val="none" w:sz="0" w:space="0" w:color="auto"/>
        <w:left w:val="none" w:sz="0" w:space="0" w:color="auto"/>
        <w:bottom w:val="none" w:sz="0" w:space="0" w:color="auto"/>
        <w:right w:val="none" w:sz="0" w:space="0" w:color="auto"/>
      </w:divBdr>
    </w:div>
    <w:div w:id="1503353568">
      <w:bodyDiv w:val="1"/>
      <w:marLeft w:val="0"/>
      <w:marRight w:val="0"/>
      <w:marTop w:val="0"/>
      <w:marBottom w:val="0"/>
      <w:divBdr>
        <w:top w:val="none" w:sz="0" w:space="0" w:color="auto"/>
        <w:left w:val="none" w:sz="0" w:space="0" w:color="auto"/>
        <w:bottom w:val="none" w:sz="0" w:space="0" w:color="auto"/>
        <w:right w:val="none" w:sz="0" w:space="0" w:color="auto"/>
      </w:divBdr>
      <w:divsChild>
        <w:div w:id="1691487206">
          <w:marLeft w:val="0"/>
          <w:marRight w:val="0"/>
          <w:marTop w:val="0"/>
          <w:marBottom w:val="0"/>
          <w:divBdr>
            <w:top w:val="none" w:sz="0" w:space="0" w:color="auto"/>
            <w:left w:val="none" w:sz="0" w:space="0" w:color="auto"/>
            <w:bottom w:val="none" w:sz="0" w:space="0" w:color="auto"/>
            <w:right w:val="none" w:sz="0" w:space="0" w:color="auto"/>
          </w:divBdr>
        </w:div>
        <w:div w:id="1100220215">
          <w:marLeft w:val="0"/>
          <w:marRight w:val="0"/>
          <w:marTop w:val="0"/>
          <w:marBottom w:val="0"/>
          <w:divBdr>
            <w:top w:val="none" w:sz="0" w:space="0" w:color="auto"/>
            <w:left w:val="none" w:sz="0" w:space="0" w:color="auto"/>
            <w:bottom w:val="none" w:sz="0" w:space="0" w:color="auto"/>
            <w:right w:val="none" w:sz="0" w:space="0" w:color="auto"/>
          </w:divBdr>
        </w:div>
        <w:div w:id="1625231764">
          <w:marLeft w:val="0"/>
          <w:marRight w:val="0"/>
          <w:marTop w:val="0"/>
          <w:marBottom w:val="0"/>
          <w:divBdr>
            <w:top w:val="none" w:sz="0" w:space="0" w:color="auto"/>
            <w:left w:val="none" w:sz="0" w:space="0" w:color="auto"/>
            <w:bottom w:val="none" w:sz="0" w:space="0" w:color="auto"/>
            <w:right w:val="none" w:sz="0" w:space="0" w:color="auto"/>
          </w:divBdr>
        </w:div>
        <w:div w:id="766460336">
          <w:marLeft w:val="0"/>
          <w:marRight w:val="0"/>
          <w:marTop w:val="0"/>
          <w:marBottom w:val="0"/>
          <w:divBdr>
            <w:top w:val="none" w:sz="0" w:space="0" w:color="auto"/>
            <w:left w:val="none" w:sz="0" w:space="0" w:color="auto"/>
            <w:bottom w:val="none" w:sz="0" w:space="0" w:color="auto"/>
            <w:right w:val="none" w:sz="0" w:space="0" w:color="auto"/>
          </w:divBdr>
        </w:div>
      </w:divsChild>
    </w:div>
    <w:div w:id="1749036050">
      <w:bodyDiv w:val="1"/>
      <w:marLeft w:val="0"/>
      <w:marRight w:val="0"/>
      <w:marTop w:val="0"/>
      <w:marBottom w:val="0"/>
      <w:divBdr>
        <w:top w:val="none" w:sz="0" w:space="0" w:color="auto"/>
        <w:left w:val="none" w:sz="0" w:space="0" w:color="auto"/>
        <w:bottom w:val="none" w:sz="0" w:space="0" w:color="auto"/>
        <w:right w:val="none" w:sz="0" w:space="0" w:color="auto"/>
      </w:divBdr>
    </w:div>
    <w:div w:id="20948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Saluja</dc:creator>
  <cp:keywords/>
  <dc:description/>
  <cp:lastModifiedBy>Sagar Saluja</cp:lastModifiedBy>
  <cp:revision>2</cp:revision>
  <dcterms:created xsi:type="dcterms:W3CDTF">2025-02-28T12:33:00Z</dcterms:created>
  <dcterms:modified xsi:type="dcterms:W3CDTF">2025-02-28T12:41:00Z</dcterms:modified>
</cp:coreProperties>
</file>