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A796" w14:textId="2C1B08F2" w:rsidR="00E60E85" w:rsidRDefault="00E60E85" w:rsidP="00CE62BD">
      <w:p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  <w:r w:rsidRPr="00E60E85">
        <w:rPr>
          <w:rFonts w:ascii="Lato" w:hAnsi="Lato"/>
          <w:b/>
          <w:bCs/>
          <w:color w:val="515359"/>
          <w:sz w:val="23"/>
          <w:szCs w:val="23"/>
        </w:rPr>
        <w:t>Sample Extraction: </w:t>
      </w:r>
      <w:r w:rsidR="00EF2E60">
        <w:rPr>
          <w:rFonts w:ascii="Lato" w:hAnsi="Lato"/>
          <w:color w:val="515359"/>
          <w:sz w:val="23"/>
          <w:szCs w:val="23"/>
        </w:rPr>
        <w:t xml:space="preserve">WT, Abca7-V1599M, 5xFAD </w:t>
      </w:r>
      <w:r w:rsidR="00EF2E60">
        <w:rPr>
          <w:rFonts w:ascii="Lato" w:hAnsi="Lato"/>
          <w:color w:val="515359"/>
          <w:sz w:val="23"/>
          <w:szCs w:val="23"/>
          <w:shd w:val="clear" w:color="auto" w:fill="FFFFFF"/>
        </w:rPr>
        <w:t xml:space="preserve">and 5xFAD;Abca7-V1599M </w:t>
      </w:r>
      <w:r w:rsidR="00713F63">
        <w:rPr>
          <w:rFonts w:ascii="Lato" w:hAnsi="Lato"/>
          <w:color w:val="515359"/>
          <w:sz w:val="23"/>
          <w:szCs w:val="23"/>
          <w:shd w:val="clear" w:color="auto" w:fill="FFFFFF"/>
        </w:rPr>
        <w:t xml:space="preserve">female and male mice </w:t>
      </w:r>
      <w:r w:rsidRPr="00E60E85">
        <w:rPr>
          <w:rFonts w:ascii="Lato" w:hAnsi="Lato"/>
          <w:color w:val="515359"/>
          <w:sz w:val="23"/>
          <w:szCs w:val="23"/>
        </w:rPr>
        <w:t xml:space="preserve">were selected for </w:t>
      </w:r>
      <w:r w:rsidR="00713F63">
        <w:rPr>
          <w:rFonts w:ascii="Lato" w:hAnsi="Lato"/>
          <w:color w:val="515359"/>
          <w:sz w:val="23"/>
          <w:szCs w:val="23"/>
        </w:rPr>
        <w:t xml:space="preserve">quantitative </w:t>
      </w:r>
      <w:r w:rsidR="005C70FD">
        <w:rPr>
          <w:rFonts w:ascii="Lato" w:hAnsi="Lato"/>
          <w:color w:val="515359"/>
          <w:sz w:val="23"/>
          <w:szCs w:val="23"/>
        </w:rPr>
        <w:t>immunohistochemical</w:t>
      </w:r>
      <w:r w:rsidRPr="00E60E85">
        <w:rPr>
          <w:rFonts w:ascii="Lato" w:hAnsi="Lato"/>
          <w:color w:val="515359"/>
          <w:sz w:val="23"/>
          <w:szCs w:val="23"/>
        </w:rPr>
        <w:t xml:space="preserve"> analysis </w:t>
      </w:r>
      <w:r>
        <w:rPr>
          <w:rFonts w:ascii="Lato" w:hAnsi="Lato"/>
          <w:color w:val="515359"/>
          <w:sz w:val="23"/>
          <w:szCs w:val="23"/>
        </w:rPr>
        <w:t xml:space="preserve">of </w:t>
      </w:r>
      <w:r w:rsidR="005C70FD">
        <w:rPr>
          <w:rFonts w:ascii="Lato" w:hAnsi="Lato"/>
          <w:color w:val="515359"/>
          <w:sz w:val="23"/>
          <w:szCs w:val="23"/>
        </w:rPr>
        <w:t>various markers</w:t>
      </w:r>
      <w:r>
        <w:rPr>
          <w:rFonts w:ascii="Lato" w:hAnsi="Lato"/>
          <w:color w:val="515359"/>
          <w:sz w:val="23"/>
          <w:szCs w:val="23"/>
        </w:rPr>
        <w:t xml:space="preserve"> </w:t>
      </w:r>
      <w:r w:rsidRPr="00E60E85">
        <w:rPr>
          <w:rFonts w:ascii="Lato" w:hAnsi="Lato"/>
          <w:color w:val="515359"/>
          <w:sz w:val="23"/>
          <w:szCs w:val="23"/>
        </w:rPr>
        <w:t>at 4</w:t>
      </w:r>
      <w:r>
        <w:rPr>
          <w:rFonts w:ascii="Lato" w:hAnsi="Lato"/>
          <w:color w:val="515359"/>
          <w:sz w:val="23"/>
          <w:szCs w:val="23"/>
        </w:rPr>
        <w:t xml:space="preserve"> and </w:t>
      </w:r>
      <w:r w:rsidRPr="00E60E85">
        <w:rPr>
          <w:rFonts w:ascii="Lato" w:hAnsi="Lato"/>
          <w:color w:val="515359"/>
          <w:sz w:val="23"/>
          <w:szCs w:val="23"/>
        </w:rPr>
        <w:t>12</w:t>
      </w:r>
      <w:r>
        <w:rPr>
          <w:rFonts w:ascii="Lato" w:hAnsi="Lato"/>
          <w:color w:val="515359"/>
          <w:sz w:val="23"/>
          <w:szCs w:val="23"/>
        </w:rPr>
        <w:t xml:space="preserve"> </w:t>
      </w:r>
      <w:r w:rsidRPr="00E60E85">
        <w:rPr>
          <w:rFonts w:ascii="Lato" w:hAnsi="Lato"/>
          <w:color w:val="515359"/>
          <w:sz w:val="23"/>
          <w:szCs w:val="23"/>
        </w:rPr>
        <w:t xml:space="preserve">months. At the above ages, </w:t>
      </w:r>
      <w:r w:rsidR="00365923">
        <w:rPr>
          <w:rFonts w:ascii="Lato" w:hAnsi="Lato"/>
          <w:color w:val="515359"/>
          <w:sz w:val="23"/>
          <w:szCs w:val="23"/>
        </w:rPr>
        <w:t>mice were euthanized via</w:t>
      </w:r>
      <w:r w:rsidR="00713F63">
        <w:rPr>
          <w:rFonts w:ascii="Lato" w:hAnsi="Lato"/>
          <w:color w:val="515359"/>
          <w:sz w:val="23"/>
          <w:szCs w:val="23"/>
        </w:rPr>
        <w:t xml:space="preserve"> </w:t>
      </w:r>
      <w:r w:rsidR="0064764A">
        <w:rPr>
          <w:rFonts w:ascii="Lato" w:hAnsi="Lato"/>
          <w:color w:val="515359"/>
          <w:sz w:val="23"/>
          <w:szCs w:val="23"/>
        </w:rPr>
        <w:t>CO</w:t>
      </w:r>
      <w:r w:rsidR="0064764A">
        <w:rPr>
          <w:rFonts w:ascii="Lato" w:hAnsi="Lato"/>
          <w:color w:val="515359"/>
          <w:sz w:val="23"/>
          <w:szCs w:val="23"/>
          <w:vertAlign w:val="superscript"/>
        </w:rPr>
        <w:t>2</w:t>
      </w:r>
      <w:r w:rsidR="0064764A">
        <w:rPr>
          <w:rFonts w:ascii="Lato" w:hAnsi="Lato"/>
          <w:color w:val="515359"/>
          <w:sz w:val="23"/>
          <w:szCs w:val="23"/>
        </w:rPr>
        <w:t xml:space="preserve"> </w:t>
      </w:r>
      <w:r w:rsidR="00365923">
        <w:rPr>
          <w:rFonts w:ascii="Lato" w:hAnsi="Lato"/>
          <w:color w:val="515359"/>
          <w:sz w:val="23"/>
          <w:szCs w:val="23"/>
        </w:rPr>
        <w:t xml:space="preserve">inhalation. </w:t>
      </w:r>
      <w:r w:rsidR="00242854">
        <w:rPr>
          <w:rFonts w:ascii="Lato" w:hAnsi="Lato"/>
          <w:color w:val="515359"/>
          <w:sz w:val="23"/>
          <w:szCs w:val="23"/>
        </w:rPr>
        <w:t>After intracardial b</w:t>
      </w:r>
      <w:r w:rsidR="00365923">
        <w:rPr>
          <w:rFonts w:ascii="Lato" w:hAnsi="Lato"/>
          <w:color w:val="515359"/>
          <w:sz w:val="23"/>
          <w:szCs w:val="23"/>
        </w:rPr>
        <w:t xml:space="preserve">lood </w:t>
      </w:r>
      <w:r w:rsidR="00242854">
        <w:rPr>
          <w:rFonts w:ascii="Lato" w:hAnsi="Lato"/>
          <w:color w:val="515359"/>
          <w:sz w:val="23"/>
          <w:szCs w:val="23"/>
        </w:rPr>
        <w:t>collection,</w:t>
      </w:r>
      <w:r w:rsidR="00365923">
        <w:rPr>
          <w:rFonts w:ascii="Lato" w:hAnsi="Lato"/>
          <w:color w:val="515359"/>
          <w:sz w:val="23"/>
          <w:szCs w:val="23"/>
        </w:rPr>
        <w:t xml:space="preserve"> </w:t>
      </w:r>
      <w:r w:rsidR="00242854">
        <w:rPr>
          <w:rFonts w:ascii="Lato" w:hAnsi="Lato"/>
          <w:color w:val="515359"/>
          <w:sz w:val="23"/>
          <w:szCs w:val="23"/>
        </w:rPr>
        <w:t xml:space="preserve">mice underwent </w:t>
      </w:r>
      <w:proofErr w:type="spellStart"/>
      <w:r w:rsidR="00713F63">
        <w:rPr>
          <w:rFonts w:ascii="Lato" w:hAnsi="Lato"/>
          <w:color w:val="515359"/>
          <w:sz w:val="23"/>
          <w:szCs w:val="23"/>
        </w:rPr>
        <w:t>transcardial</w:t>
      </w:r>
      <w:proofErr w:type="spellEnd"/>
      <w:r w:rsidR="00365923">
        <w:rPr>
          <w:rFonts w:ascii="Lato" w:hAnsi="Lato"/>
          <w:color w:val="515359"/>
          <w:sz w:val="23"/>
          <w:szCs w:val="23"/>
        </w:rPr>
        <w:t xml:space="preserve"> </w:t>
      </w:r>
      <w:r w:rsidR="00713F63">
        <w:rPr>
          <w:rFonts w:ascii="Lato" w:hAnsi="Lato"/>
          <w:color w:val="515359"/>
          <w:sz w:val="23"/>
          <w:szCs w:val="23"/>
        </w:rPr>
        <w:t>perfus</w:t>
      </w:r>
      <w:r w:rsidR="00242854">
        <w:rPr>
          <w:rFonts w:ascii="Lato" w:hAnsi="Lato"/>
          <w:color w:val="515359"/>
          <w:sz w:val="23"/>
          <w:szCs w:val="23"/>
        </w:rPr>
        <w:t>ion</w:t>
      </w:r>
      <w:r w:rsidR="00713F63">
        <w:rPr>
          <w:rFonts w:ascii="Lato" w:hAnsi="Lato"/>
          <w:color w:val="515359"/>
          <w:sz w:val="23"/>
          <w:szCs w:val="23"/>
        </w:rPr>
        <w:t xml:space="preserve"> with </w:t>
      </w:r>
      <w:r w:rsidR="0064764A">
        <w:rPr>
          <w:rFonts w:ascii="Lato" w:hAnsi="Lato"/>
          <w:color w:val="515359"/>
          <w:sz w:val="23"/>
          <w:szCs w:val="23"/>
        </w:rPr>
        <w:t>1</w:t>
      </w:r>
      <w:r w:rsidR="00365923">
        <w:rPr>
          <w:rFonts w:ascii="Lato" w:hAnsi="Lato"/>
          <w:color w:val="515359"/>
          <w:sz w:val="23"/>
          <w:szCs w:val="23"/>
        </w:rPr>
        <w:t xml:space="preserve">X </w:t>
      </w:r>
      <w:r w:rsidR="00365923" w:rsidRPr="00365923">
        <w:rPr>
          <w:rFonts w:ascii="Lato" w:hAnsi="Lato"/>
          <w:color w:val="515359"/>
          <w:sz w:val="23"/>
          <w:szCs w:val="23"/>
        </w:rPr>
        <w:t>phosphate buffered saline (PBS)</w:t>
      </w:r>
      <w:r w:rsidR="00365923">
        <w:rPr>
          <w:rFonts w:ascii="Lato" w:hAnsi="Lato"/>
          <w:color w:val="515359"/>
          <w:sz w:val="23"/>
          <w:szCs w:val="23"/>
        </w:rPr>
        <w:t>.</w:t>
      </w:r>
      <w:r w:rsidR="0064764A">
        <w:rPr>
          <w:rFonts w:ascii="Lato" w:hAnsi="Lato"/>
          <w:color w:val="515359"/>
          <w:sz w:val="23"/>
          <w:szCs w:val="23"/>
        </w:rPr>
        <w:t xml:space="preserve"> </w:t>
      </w:r>
      <w:r w:rsidR="00365923">
        <w:rPr>
          <w:rFonts w:ascii="Lato" w:hAnsi="Lato"/>
          <w:color w:val="515359"/>
          <w:sz w:val="23"/>
          <w:szCs w:val="23"/>
        </w:rPr>
        <w:t xml:space="preserve">Brains were </w:t>
      </w:r>
      <w:r w:rsidR="00365923" w:rsidRPr="00365923">
        <w:rPr>
          <w:rFonts w:ascii="Lato" w:hAnsi="Lato"/>
          <w:color w:val="515359"/>
          <w:sz w:val="23"/>
          <w:szCs w:val="23"/>
        </w:rPr>
        <w:t>removed and hemispheres separated along the midline.</w:t>
      </w:r>
      <w:r w:rsidR="00365923">
        <w:rPr>
          <w:rFonts w:ascii="Lato" w:hAnsi="Lato"/>
          <w:color w:val="515359"/>
          <w:sz w:val="23"/>
          <w:szCs w:val="23"/>
        </w:rPr>
        <w:t xml:space="preserve"> </w:t>
      </w:r>
      <w:r w:rsidR="005C70FD">
        <w:rPr>
          <w:rFonts w:ascii="Lato" w:hAnsi="Lato"/>
          <w:color w:val="515359"/>
          <w:sz w:val="23"/>
          <w:szCs w:val="23"/>
        </w:rPr>
        <w:t>The right</w:t>
      </w:r>
      <w:r w:rsidRPr="00E60E85">
        <w:rPr>
          <w:rFonts w:ascii="Lato" w:hAnsi="Lato"/>
          <w:color w:val="515359"/>
          <w:sz w:val="23"/>
          <w:szCs w:val="23"/>
        </w:rPr>
        <w:t xml:space="preserve"> </w:t>
      </w:r>
      <w:r w:rsidR="00365923">
        <w:rPr>
          <w:rFonts w:ascii="Lato" w:hAnsi="Lato"/>
          <w:color w:val="515359"/>
          <w:sz w:val="23"/>
          <w:szCs w:val="23"/>
        </w:rPr>
        <w:t>hemisphere</w:t>
      </w:r>
      <w:r w:rsidRPr="00E60E85">
        <w:rPr>
          <w:rFonts w:ascii="Lato" w:hAnsi="Lato"/>
          <w:color w:val="515359"/>
          <w:sz w:val="23"/>
          <w:szCs w:val="23"/>
        </w:rPr>
        <w:t xml:space="preserve"> </w:t>
      </w:r>
      <w:r w:rsidR="005C70FD">
        <w:rPr>
          <w:rFonts w:ascii="Lato" w:hAnsi="Lato"/>
          <w:color w:val="515359"/>
          <w:sz w:val="23"/>
          <w:szCs w:val="23"/>
        </w:rPr>
        <w:t xml:space="preserve">was </w:t>
      </w:r>
      <w:r w:rsidR="005C70FD" w:rsidRPr="005C70FD">
        <w:rPr>
          <w:rFonts w:ascii="Lato" w:hAnsi="Lato"/>
          <w:color w:val="515359"/>
          <w:sz w:val="23"/>
          <w:szCs w:val="23"/>
        </w:rPr>
        <w:t xml:space="preserve">fixed in 4% paraformaldehyde overnight at 4°C and cryopreserved in 10% and </w:t>
      </w:r>
      <w:r w:rsidR="005C70FD">
        <w:rPr>
          <w:rFonts w:ascii="Lato" w:hAnsi="Lato"/>
          <w:color w:val="515359"/>
          <w:sz w:val="23"/>
          <w:szCs w:val="23"/>
        </w:rPr>
        <w:t xml:space="preserve">later in </w:t>
      </w:r>
      <w:r w:rsidR="005C70FD" w:rsidRPr="005C70FD">
        <w:rPr>
          <w:rFonts w:ascii="Lato" w:hAnsi="Lato"/>
          <w:color w:val="515359"/>
          <w:sz w:val="23"/>
          <w:szCs w:val="23"/>
        </w:rPr>
        <w:t>30% sucros</w:t>
      </w:r>
      <w:r w:rsidR="005C70FD">
        <w:rPr>
          <w:rFonts w:ascii="Lato" w:hAnsi="Lato"/>
          <w:color w:val="515359"/>
          <w:sz w:val="23"/>
          <w:szCs w:val="23"/>
        </w:rPr>
        <w:t>e</w:t>
      </w:r>
      <w:r w:rsidRPr="00E60E85">
        <w:rPr>
          <w:rFonts w:ascii="Lato" w:hAnsi="Lato"/>
          <w:color w:val="515359"/>
          <w:sz w:val="23"/>
          <w:szCs w:val="23"/>
        </w:rPr>
        <w:t xml:space="preserve">. </w:t>
      </w:r>
    </w:p>
    <w:p w14:paraId="47FAB298" w14:textId="26007522" w:rsidR="0064764A" w:rsidRDefault="0064764A" w:rsidP="00CE62BD">
      <w:p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</w:p>
    <w:p w14:paraId="07C5AB97" w14:textId="02E815E3" w:rsidR="00C36C6F" w:rsidRPr="00C36C6F" w:rsidRDefault="005C70FD" w:rsidP="00CE62BD">
      <w:p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  <w:r w:rsidRPr="00E60E85">
        <w:rPr>
          <w:rFonts w:ascii="Lato" w:hAnsi="Lato"/>
          <w:b/>
          <w:bCs/>
          <w:color w:val="515359"/>
          <w:sz w:val="23"/>
          <w:szCs w:val="23"/>
        </w:rPr>
        <w:t xml:space="preserve">Sample Preparation: </w:t>
      </w:r>
      <w:r w:rsidR="00684643">
        <w:rPr>
          <w:rFonts w:ascii="Lato" w:hAnsi="Lato"/>
          <w:color w:val="515359"/>
          <w:sz w:val="23"/>
          <w:szCs w:val="23"/>
          <w:shd w:val="clear" w:color="auto" w:fill="FFFFFF"/>
        </w:rPr>
        <w:t>40 μm coronal slices of the right hemisphere was prepared using a sliding microtome with a freezing stage and the tissues were stored in 1X PBS in 12-well plates and kept in 4</w:t>
      </w:r>
      <w:r w:rsidR="00684643">
        <w:rPr>
          <w:rFonts w:ascii="Cambria Math" w:hAnsi="Cambria Math" w:cs="Cambria Math"/>
          <w:color w:val="515359"/>
          <w:sz w:val="23"/>
          <w:szCs w:val="23"/>
          <w:shd w:val="clear" w:color="auto" w:fill="FFFFFF"/>
        </w:rPr>
        <w:t>℃</w:t>
      </w:r>
      <w:r w:rsidR="00684643">
        <w:rPr>
          <w:rFonts w:ascii="Lato" w:hAnsi="Lato"/>
          <w:color w:val="515359"/>
          <w:sz w:val="23"/>
          <w:szCs w:val="23"/>
          <w:shd w:val="clear" w:color="auto" w:fill="FFFFFF"/>
        </w:rPr>
        <w:t xml:space="preserve"> until further use for immunofluorescent staining</w:t>
      </w:r>
      <w:r w:rsidR="00684643">
        <w:rPr>
          <w:rFonts w:ascii="Lato" w:hAnsi="Lato"/>
          <w:color w:val="515359"/>
          <w:sz w:val="23"/>
          <w:szCs w:val="23"/>
        </w:rPr>
        <w:t xml:space="preserve">. </w:t>
      </w:r>
      <w:r w:rsidRPr="005C70FD">
        <w:rPr>
          <w:rFonts w:ascii="Lato" w:hAnsi="Lato"/>
          <w:color w:val="515359"/>
          <w:sz w:val="23"/>
          <w:szCs w:val="23"/>
        </w:rPr>
        <w:t>Free-floating sections were washed three times with 1X PBS and for Thiosflavin-S staining, 10 min incubation in 0.5% Thio-S (1892; Sigma-Aldrich, St. Louis, MO) diluted in 50% ethanol followed. Sections were then washed 2X for 5 min each in 50% ethan</w:t>
      </w:r>
      <w:r w:rsidR="00684643">
        <w:rPr>
          <w:rFonts w:ascii="Lato" w:hAnsi="Lato"/>
          <w:color w:val="515359"/>
          <w:sz w:val="23"/>
          <w:szCs w:val="23"/>
        </w:rPr>
        <w:t>ol and one 10-min wash in 1xPBS</w:t>
      </w:r>
      <w:r w:rsidR="00C36C6F" w:rsidRPr="005C70FD">
        <w:rPr>
          <w:rFonts w:ascii="Lato" w:hAnsi="Lato"/>
          <w:color w:val="515359"/>
          <w:sz w:val="23"/>
          <w:szCs w:val="23"/>
        </w:rPr>
        <w:t>.</w:t>
      </w:r>
      <w:r w:rsidR="00C36C6F">
        <w:rPr>
          <w:rFonts w:ascii="Lato" w:hAnsi="Lato"/>
          <w:color w:val="515359"/>
          <w:sz w:val="23"/>
          <w:szCs w:val="23"/>
        </w:rPr>
        <w:t xml:space="preserve"> </w:t>
      </w:r>
      <w:r w:rsidR="00C36C6F" w:rsidRPr="005C70FD">
        <w:rPr>
          <w:rFonts w:ascii="Lato" w:hAnsi="Lato"/>
          <w:color w:val="515359"/>
          <w:sz w:val="23"/>
          <w:szCs w:val="23"/>
        </w:rPr>
        <w:t>Sections were immersed in normal blocking serum solution (5% normal goat serum with 0.2% Triton X-100 in 1X PBS) for 1 hr before overnight incubation at 4°C in primary antibodies diluted in normal blocking serum solution.</w:t>
      </w:r>
      <w:r w:rsidR="00C36C6F">
        <w:rPr>
          <w:rFonts w:ascii="Lato" w:hAnsi="Lato"/>
          <w:color w:val="515359"/>
          <w:sz w:val="23"/>
          <w:szCs w:val="23"/>
        </w:rPr>
        <w:t xml:space="preserve"> </w:t>
      </w:r>
    </w:p>
    <w:p w14:paraId="03EAD374" w14:textId="72B02CE8" w:rsidR="00684643" w:rsidRDefault="005C70FD" w:rsidP="00CE62BD">
      <w:p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  <w:r w:rsidRPr="005C70FD">
        <w:rPr>
          <w:rFonts w:ascii="Lato" w:hAnsi="Lato"/>
          <w:color w:val="515359"/>
          <w:sz w:val="23"/>
          <w:szCs w:val="23"/>
        </w:rPr>
        <w:t>Brain sections were stained following a standard indirect technique as described (Forner et al., 2021; Javonillo et al., 2021) with the following primary antibodies</w:t>
      </w:r>
      <w:r w:rsidR="00684643">
        <w:rPr>
          <w:rFonts w:ascii="Lato" w:hAnsi="Lato"/>
          <w:color w:val="515359"/>
          <w:sz w:val="23"/>
          <w:szCs w:val="23"/>
        </w:rPr>
        <w:t>:</w:t>
      </w:r>
    </w:p>
    <w:p w14:paraId="6BB7B59E" w14:textId="77777777" w:rsidR="00684643" w:rsidRDefault="00684643" w:rsidP="00CE62BD">
      <w:p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</w:p>
    <w:p w14:paraId="0BEFE292" w14:textId="097A45EC" w:rsidR="004F04D3" w:rsidRPr="000C43A8" w:rsidRDefault="00684643" w:rsidP="000C43A8">
      <w:pPr>
        <w:pStyle w:val="ListParagraph"/>
        <w:numPr>
          <w:ilvl w:val="0"/>
          <w:numId w:val="2"/>
        </w:num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  <w:r w:rsidRPr="001F47AB">
        <w:rPr>
          <w:rFonts w:ascii="Lato" w:hAnsi="Lato"/>
          <w:color w:val="515359"/>
          <w:sz w:val="23"/>
          <w:szCs w:val="23"/>
          <w:lang w:val="es-ES"/>
        </w:rPr>
        <w:t>Anti-Iba1</w:t>
      </w:r>
      <w:r w:rsidRPr="001F47AB">
        <w:rPr>
          <w:rFonts w:ascii="Lato" w:hAnsi="Lato"/>
          <w:color w:val="515359"/>
          <w:sz w:val="23"/>
          <w:szCs w:val="23"/>
        </w:rPr>
        <w:t xml:space="preserve"> (</w:t>
      </w:r>
      <w:r w:rsidR="005C70FD" w:rsidRPr="001F47AB">
        <w:rPr>
          <w:rFonts w:ascii="Lato" w:hAnsi="Lato"/>
          <w:color w:val="515359"/>
          <w:sz w:val="23"/>
          <w:szCs w:val="23"/>
        </w:rPr>
        <w:t xml:space="preserve">1:2000; </w:t>
      </w:r>
      <w:r w:rsidRPr="001F47AB">
        <w:rPr>
          <w:rFonts w:ascii="Lato" w:hAnsi="Lato"/>
          <w:color w:val="515359"/>
          <w:sz w:val="23"/>
          <w:szCs w:val="23"/>
        </w:rPr>
        <w:t>019-19741; Wako)</w:t>
      </w:r>
    </w:p>
    <w:p w14:paraId="2A6C4D58" w14:textId="2E69F210" w:rsidR="00684643" w:rsidRPr="001F47AB" w:rsidRDefault="00684643" w:rsidP="00CE62BD">
      <w:pPr>
        <w:pStyle w:val="ListParagraph"/>
        <w:numPr>
          <w:ilvl w:val="0"/>
          <w:numId w:val="2"/>
        </w:num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  <w:r w:rsidRPr="001F47AB">
        <w:rPr>
          <w:rFonts w:ascii="Lato" w:hAnsi="Lato"/>
          <w:color w:val="515359"/>
          <w:sz w:val="23"/>
          <w:szCs w:val="23"/>
        </w:rPr>
        <w:t>Anti-GFAP (1:1000; AB134436; Abcam)</w:t>
      </w:r>
    </w:p>
    <w:p w14:paraId="039FC180" w14:textId="104BF489" w:rsidR="00684643" w:rsidRPr="001F47AB" w:rsidRDefault="00684643" w:rsidP="00CE62BD">
      <w:pPr>
        <w:pStyle w:val="ListParagraph"/>
        <w:numPr>
          <w:ilvl w:val="0"/>
          <w:numId w:val="2"/>
        </w:num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  <w:r w:rsidRPr="001F47AB">
        <w:rPr>
          <w:rFonts w:ascii="Lato" w:hAnsi="Lato"/>
          <w:color w:val="515359"/>
          <w:sz w:val="23"/>
          <w:szCs w:val="23"/>
        </w:rPr>
        <w:t>Anti-S100β (1:200; AB41548; Abcam)</w:t>
      </w:r>
    </w:p>
    <w:p w14:paraId="7C463566" w14:textId="2B4EDD8C" w:rsidR="00684643" w:rsidRPr="001F47AB" w:rsidRDefault="00684643" w:rsidP="00CE62BD">
      <w:pPr>
        <w:pStyle w:val="ListParagraph"/>
        <w:numPr>
          <w:ilvl w:val="0"/>
          <w:numId w:val="2"/>
        </w:num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  <w:r w:rsidRPr="001F47AB">
        <w:rPr>
          <w:rFonts w:ascii="Lato" w:hAnsi="Lato"/>
          <w:color w:val="515359"/>
          <w:sz w:val="23"/>
          <w:szCs w:val="23"/>
        </w:rPr>
        <w:t>Anti-LAMP1 (1:200; AB25245; Abcam)</w:t>
      </w:r>
    </w:p>
    <w:p w14:paraId="24DDFFE8" w14:textId="1769F091" w:rsidR="00684643" w:rsidRPr="001F47AB" w:rsidRDefault="00684643" w:rsidP="00CE62BD">
      <w:pPr>
        <w:pStyle w:val="ListParagraph"/>
        <w:numPr>
          <w:ilvl w:val="0"/>
          <w:numId w:val="2"/>
        </w:num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  <w:r w:rsidRPr="001F47AB">
        <w:rPr>
          <w:rFonts w:ascii="Lato" w:hAnsi="Lato"/>
          <w:color w:val="515359"/>
          <w:sz w:val="23"/>
          <w:szCs w:val="23"/>
        </w:rPr>
        <w:t>Anti-</w:t>
      </w:r>
      <w:proofErr w:type="spellStart"/>
      <w:r w:rsidRPr="001F47AB">
        <w:rPr>
          <w:rFonts w:ascii="Lato" w:hAnsi="Lato"/>
          <w:color w:val="515359"/>
          <w:sz w:val="23"/>
          <w:szCs w:val="23"/>
        </w:rPr>
        <w:t>Nfl</w:t>
      </w:r>
      <w:proofErr w:type="spellEnd"/>
      <w:r w:rsidRPr="001F47AB">
        <w:rPr>
          <w:rFonts w:ascii="Lato" w:hAnsi="Lato"/>
          <w:color w:val="515359"/>
          <w:sz w:val="23"/>
          <w:szCs w:val="23"/>
        </w:rPr>
        <w:t xml:space="preserve"> (</w:t>
      </w:r>
      <w:r w:rsidR="005C70FD" w:rsidRPr="001F47AB">
        <w:rPr>
          <w:rFonts w:ascii="Lato" w:hAnsi="Lato"/>
          <w:color w:val="515359"/>
          <w:sz w:val="23"/>
          <w:szCs w:val="23"/>
        </w:rPr>
        <w:t>1:200</w:t>
      </w:r>
      <w:r w:rsidRPr="001F47AB">
        <w:rPr>
          <w:rFonts w:ascii="Lato" w:hAnsi="Lato"/>
          <w:color w:val="515359"/>
          <w:sz w:val="23"/>
          <w:szCs w:val="23"/>
        </w:rPr>
        <w:t>; 171 002; Synaptic Systems)</w:t>
      </w:r>
      <w:r w:rsidR="00C36C6F" w:rsidRPr="001F47AB">
        <w:rPr>
          <w:rFonts w:ascii="Lato" w:hAnsi="Lato"/>
          <w:color w:val="515359"/>
          <w:sz w:val="23"/>
          <w:szCs w:val="23"/>
        </w:rPr>
        <w:t xml:space="preserve"> </w:t>
      </w:r>
    </w:p>
    <w:p w14:paraId="05EF4484" w14:textId="3F2330A6" w:rsidR="006E48E9" w:rsidRPr="00735918" w:rsidRDefault="00684643" w:rsidP="00735918">
      <w:pPr>
        <w:pStyle w:val="ListParagraph"/>
        <w:numPr>
          <w:ilvl w:val="0"/>
          <w:numId w:val="2"/>
        </w:num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  <w:r w:rsidRPr="001F47AB">
        <w:rPr>
          <w:rFonts w:ascii="Lato" w:hAnsi="Lato"/>
          <w:color w:val="515359"/>
          <w:sz w:val="23"/>
          <w:szCs w:val="23"/>
        </w:rPr>
        <w:t>Anti-OC (</w:t>
      </w:r>
      <w:r w:rsidR="00CE0462" w:rsidRPr="001F47AB">
        <w:rPr>
          <w:rFonts w:ascii="Lato" w:hAnsi="Lato"/>
          <w:color w:val="515359"/>
          <w:sz w:val="23"/>
          <w:szCs w:val="23"/>
        </w:rPr>
        <w:t xml:space="preserve">1:1000; </w:t>
      </w:r>
      <w:r w:rsidR="00175C34" w:rsidRPr="001F47AB">
        <w:rPr>
          <w:rFonts w:ascii="Lato" w:hAnsi="Lato"/>
          <w:color w:val="515359"/>
          <w:sz w:val="23"/>
          <w:szCs w:val="23"/>
        </w:rPr>
        <w:t>AB2286; Abcam</w:t>
      </w:r>
      <w:r w:rsidRPr="001F47AB">
        <w:rPr>
          <w:rFonts w:ascii="Lato" w:hAnsi="Lato"/>
          <w:color w:val="515359"/>
          <w:sz w:val="23"/>
          <w:szCs w:val="23"/>
        </w:rPr>
        <w:t>)</w:t>
      </w:r>
    </w:p>
    <w:p w14:paraId="71FD0DF9" w14:textId="3487EA86" w:rsidR="005C70FD" w:rsidRDefault="005C70FD" w:rsidP="00CE62BD">
      <w:p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</w:p>
    <w:p w14:paraId="5D3CDE76" w14:textId="2ACF6989" w:rsidR="00684643" w:rsidRDefault="00684643" w:rsidP="00CE62BD">
      <w:pPr>
        <w:spacing w:line="345" w:lineRule="atLeast"/>
        <w:jc w:val="both"/>
        <w:rPr>
          <w:rFonts w:ascii="Lato" w:hAnsi="Lato"/>
          <w:color w:val="515359"/>
          <w:sz w:val="23"/>
          <w:szCs w:val="23"/>
        </w:rPr>
      </w:pPr>
      <w:r>
        <w:rPr>
          <w:rFonts w:ascii="Lato" w:hAnsi="Lato"/>
          <w:color w:val="515359"/>
          <w:sz w:val="23"/>
          <w:szCs w:val="23"/>
        </w:rPr>
        <w:t>The secondary antibodies (1:200) used are:</w:t>
      </w:r>
    </w:p>
    <w:p w14:paraId="4FD69B08" w14:textId="6354F2B9" w:rsidR="004E6671" w:rsidRPr="00E82B32" w:rsidRDefault="004E6671" w:rsidP="00CE62B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515359"/>
          <w:sz w:val="22"/>
          <w:szCs w:val="22"/>
        </w:rPr>
      </w:pPr>
      <w:r w:rsidRPr="00E82B32">
        <w:rPr>
          <w:rFonts w:ascii="Arial" w:hAnsi="Arial" w:cs="Arial"/>
          <w:color w:val="515359"/>
          <w:sz w:val="22"/>
          <w:szCs w:val="22"/>
        </w:rPr>
        <w:t>Goat Anti-Rabbit Alexa Fluor 635 (A31577</w:t>
      </w:r>
      <w:r w:rsidR="00D75E6A" w:rsidRPr="00E82B32">
        <w:rPr>
          <w:rFonts w:ascii="Arial" w:hAnsi="Arial" w:cs="Arial"/>
          <w:color w:val="515359"/>
          <w:sz w:val="22"/>
          <w:szCs w:val="22"/>
        </w:rPr>
        <w:t>, In</w:t>
      </w:r>
      <w:r w:rsidR="007A6C36" w:rsidRPr="00E82B32">
        <w:rPr>
          <w:rFonts w:ascii="Arial" w:hAnsi="Arial" w:cs="Arial"/>
          <w:color w:val="515359"/>
          <w:sz w:val="22"/>
          <w:szCs w:val="22"/>
        </w:rPr>
        <w:t>vitrogen</w:t>
      </w:r>
      <w:r w:rsidRPr="00E82B32">
        <w:rPr>
          <w:rFonts w:ascii="Arial" w:hAnsi="Arial" w:cs="Arial"/>
          <w:color w:val="515359"/>
          <w:sz w:val="22"/>
          <w:szCs w:val="22"/>
        </w:rPr>
        <w:t>)</w:t>
      </w:r>
    </w:p>
    <w:p w14:paraId="4D6458BE" w14:textId="61F5E134" w:rsidR="004E6671" w:rsidRPr="00E82B32" w:rsidRDefault="004E6671" w:rsidP="00CE62B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515359"/>
          <w:sz w:val="22"/>
          <w:szCs w:val="22"/>
        </w:rPr>
      </w:pPr>
      <w:r w:rsidRPr="00E82B32">
        <w:rPr>
          <w:rFonts w:ascii="Arial" w:hAnsi="Arial" w:cs="Arial"/>
          <w:color w:val="515359"/>
          <w:sz w:val="22"/>
          <w:szCs w:val="22"/>
        </w:rPr>
        <w:t>Goat Anti-Chicken Alexa Fluor 555 (A21437</w:t>
      </w:r>
      <w:r w:rsidR="007A6C36" w:rsidRPr="00E82B32">
        <w:rPr>
          <w:rFonts w:ascii="Arial" w:hAnsi="Arial" w:cs="Arial"/>
          <w:color w:val="515359"/>
          <w:sz w:val="22"/>
          <w:szCs w:val="22"/>
        </w:rPr>
        <w:t>, Invitrogen</w:t>
      </w:r>
      <w:r w:rsidRPr="00E82B32">
        <w:rPr>
          <w:rFonts w:ascii="Arial" w:hAnsi="Arial" w:cs="Arial"/>
          <w:color w:val="515359"/>
          <w:sz w:val="22"/>
          <w:szCs w:val="22"/>
        </w:rPr>
        <w:t>)</w:t>
      </w:r>
    </w:p>
    <w:p w14:paraId="1DAD57C1" w14:textId="1E7ADE53" w:rsidR="004E6671" w:rsidRPr="00E82B32" w:rsidRDefault="004E6671" w:rsidP="00CE62B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515359"/>
          <w:sz w:val="22"/>
          <w:szCs w:val="22"/>
        </w:rPr>
      </w:pPr>
      <w:r w:rsidRPr="00E82B32">
        <w:rPr>
          <w:rFonts w:ascii="Arial" w:hAnsi="Arial" w:cs="Arial"/>
          <w:color w:val="515359"/>
          <w:sz w:val="22"/>
          <w:szCs w:val="22"/>
        </w:rPr>
        <w:t>Goat Anti-Rat Alexa Fluor 555 (A21434</w:t>
      </w:r>
      <w:r w:rsidR="007A6C36" w:rsidRPr="00E82B32">
        <w:rPr>
          <w:rFonts w:ascii="Arial" w:hAnsi="Arial" w:cs="Arial"/>
          <w:color w:val="515359"/>
          <w:sz w:val="22"/>
          <w:szCs w:val="22"/>
        </w:rPr>
        <w:t>, Invitrogen</w:t>
      </w:r>
      <w:r w:rsidRPr="00E82B32">
        <w:rPr>
          <w:rFonts w:ascii="Arial" w:hAnsi="Arial" w:cs="Arial"/>
          <w:color w:val="515359"/>
          <w:sz w:val="22"/>
          <w:szCs w:val="22"/>
        </w:rPr>
        <w:t>)</w:t>
      </w:r>
    </w:p>
    <w:p w14:paraId="74825DEE" w14:textId="268D9BEF" w:rsidR="006B4350" w:rsidRPr="00805399" w:rsidRDefault="00E82B32" w:rsidP="00CE62B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515359"/>
          <w:sz w:val="22"/>
          <w:szCs w:val="22"/>
          <w:lang w:val="it-IT"/>
        </w:rPr>
      </w:pPr>
      <w:r w:rsidRPr="00805399">
        <w:rPr>
          <w:rFonts w:ascii="Arial" w:hAnsi="Arial" w:cs="Arial"/>
          <w:color w:val="515359"/>
          <w:sz w:val="22"/>
          <w:szCs w:val="22"/>
          <w:lang w:val="it-IT"/>
        </w:rPr>
        <w:t>Goat Anti-Rabbit 488 (A11034, Invitrogen)</w:t>
      </w:r>
    </w:p>
    <w:p w14:paraId="6DFE8443" w14:textId="182CD0A7" w:rsidR="00E60E85" w:rsidRDefault="00C36C6F" w:rsidP="00CE62BD">
      <w:pPr>
        <w:spacing w:line="345" w:lineRule="atLeast"/>
        <w:jc w:val="both"/>
      </w:pPr>
      <w:r>
        <w:rPr>
          <w:rFonts w:ascii="Lato" w:hAnsi="Lato"/>
          <w:b/>
          <w:bCs/>
          <w:color w:val="515359"/>
          <w:sz w:val="23"/>
          <w:szCs w:val="23"/>
        </w:rPr>
        <w:t>Analysis</w:t>
      </w:r>
      <w:r w:rsidRPr="00E60E85">
        <w:rPr>
          <w:rFonts w:ascii="Lato" w:hAnsi="Lato"/>
          <w:b/>
          <w:bCs/>
          <w:color w:val="515359"/>
          <w:sz w:val="23"/>
          <w:szCs w:val="23"/>
        </w:rPr>
        <w:t xml:space="preserve">: </w:t>
      </w:r>
      <w:r w:rsidR="005C70FD" w:rsidRPr="005C70FD">
        <w:rPr>
          <w:rFonts w:ascii="Lato" w:hAnsi="Lato"/>
          <w:color w:val="515359"/>
          <w:sz w:val="23"/>
          <w:szCs w:val="23"/>
        </w:rPr>
        <w:t>High-resolution fluorescence images were obtained using a Leica TCS SPE-II confocal microscope and LAS-X software. For confocal imaging, one field of view (FOV) per brain region</w:t>
      </w:r>
      <w:r w:rsidR="007738FE">
        <w:rPr>
          <w:rFonts w:ascii="Lato" w:hAnsi="Lato"/>
          <w:color w:val="515359"/>
          <w:sz w:val="23"/>
          <w:szCs w:val="23"/>
        </w:rPr>
        <w:t xml:space="preserve"> (cortex and subiculum)</w:t>
      </w:r>
      <w:r w:rsidR="005C70FD" w:rsidRPr="005C70FD">
        <w:rPr>
          <w:rFonts w:ascii="Lato" w:hAnsi="Lato"/>
          <w:color w:val="515359"/>
          <w:sz w:val="23"/>
          <w:szCs w:val="23"/>
        </w:rPr>
        <w:t xml:space="preserve"> was captured per mouse using the Allen Brain Atlas to capture comparable brain regions.</w:t>
      </w:r>
      <w:r>
        <w:rPr>
          <w:rFonts w:ascii="Lato" w:hAnsi="Lato"/>
          <w:color w:val="515359"/>
          <w:sz w:val="23"/>
          <w:szCs w:val="23"/>
        </w:rPr>
        <w:t xml:space="preserve"> 20X z-stack images were acquired and later analyzed using </w:t>
      </w:r>
      <w:r w:rsidR="007738FE" w:rsidRPr="007738FE">
        <w:rPr>
          <w:rFonts w:ascii="Lato" w:hAnsi="Lato"/>
          <w:color w:val="515359"/>
          <w:sz w:val="23"/>
          <w:szCs w:val="23"/>
        </w:rPr>
        <w:t>the Imaris v9.7 software (Biplane Inc. Zürich, Switzerland)</w:t>
      </w:r>
      <w:r w:rsidR="007738FE">
        <w:rPr>
          <w:rFonts w:ascii="Lato" w:hAnsi="Lato"/>
          <w:color w:val="515359"/>
          <w:sz w:val="23"/>
          <w:szCs w:val="23"/>
        </w:rPr>
        <w:t xml:space="preserve">. Immunohistochemical </w:t>
      </w:r>
      <w:r w:rsidR="007738FE" w:rsidRPr="007738FE">
        <w:rPr>
          <w:rFonts w:ascii="Lato" w:hAnsi="Lato"/>
          <w:color w:val="515359"/>
          <w:sz w:val="23"/>
          <w:szCs w:val="23"/>
        </w:rPr>
        <w:t xml:space="preserve">data were analyzed using Student’s t- test, one-way ANOVA, or two-way ANOVA via </w:t>
      </w:r>
      <w:r w:rsidR="007738FE" w:rsidRPr="007738FE">
        <w:rPr>
          <w:rFonts w:ascii="Lato" w:hAnsi="Lato"/>
          <w:color w:val="515359"/>
          <w:sz w:val="23"/>
          <w:szCs w:val="23"/>
        </w:rPr>
        <w:lastRenderedPageBreak/>
        <w:t>Prism v.9 (GraphPad, La Jolla, CA). Bonferroni- Šídák and Tukey’s post hoc tests were utilized to examine biologically relevant interactions from the two-way ANOVA. Where sex-differences are apparent, a Student’s t-test was used within genotype group. *p ≤ 0.05, ** p ≤ 0.01, ***p ≤ 0.001, ****p ≤ 0.0001. Data are presented as raw means and standard error of the mean (SEM).</w:t>
      </w:r>
    </w:p>
    <w:sectPr w:rsidR="00E6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FA13" w14:textId="77777777" w:rsidR="00521BBD" w:rsidRDefault="00521BBD" w:rsidP="005C70FD">
      <w:r>
        <w:separator/>
      </w:r>
    </w:p>
  </w:endnote>
  <w:endnote w:type="continuationSeparator" w:id="0">
    <w:p w14:paraId="249B05FB" w14:textId="77777777" w:rsidR="00521BBD" w:rsidRDefault="00521BBD" w:rsidP="005C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A357" w14:textId="77777777" w:rsidR="00521BBD" w:rsidRDefault="00521BBD" w:rsidP="005C70FD">
      <w:r>
        <w:separator/>
      </w:r>
    </w:p>
  </w:footnote>
  <w:footnote w:type="continuationSeparator" w:id="0">
    <w:p w14:paraId="749B3E2F" w14:textId="77777777" w:rsidR="00521BBD" w:rsidRDefault="00521BBD" w:rsidP="005C7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208C"/>
    <w:multiLevelType w:val="hybridMultilevel"/>
    <w:tmpl w:val="BA7A4934"/>
    <w:lvl w:ilvl="0" w:tplc="A720E27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10F"/>
    <w:multiLevelType w:val="multilevel"/>
    <w:tmpl w:val="86C6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10D75"/>
    <w:multiLevelType w:val="multilevel"/>
    <w:tmpl w:val="DDC6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A0C88"/>
    <w:multiLevelType w:val="multilevel"/>
    <w:tmpl w:val="E66E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242B8"/>
    <w:multiLevelType w:val="multilevel"/>
    <w:tmpl w:val="91841FAA"/>
    <w:lvl w:ilvl="0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993364">
    <w:abstractNumId w:val="1"/>
  </w:num>
  <w:num w:numId="2" w16cid:durableId="913588558">
    <w:abstractNumId w:val="0"/>
  </w:num>
  <w:num w:numId="3" w16cid:durableId="1262910096">
    <w:abstractNumId w:val="2"/>
  </w:num>
  <w:num w:numId="4" w16cid:durableId="1217937740">
    <w:abstractNumId w:val="3"/>
  </w:num>
  <w:num w:numId="5" w16cid:durableId="1228615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E85"/>
    <w:rsid w:val="000004BD"/>
    <w:rsid w:val="0007576C"/>
    <w:rsid w:val="000C43A8"/>
    <w:rsid w:val="00175C34"/>
    <w:rsid w:val="00176599"/>
    <w:rsid w:val="001C4926"/>
    <w:rsid w:val="001F47AB"/>
    <w:rsid w:val="00242854"/>
    <w:rsid w:val="002E4332"/>
    <w:rsid w:val="00362921"/>
    <w:rsid w:val="00365923"/>
    <w:rsid w:val="00407005"/>
    <w:rsid w:val="004E6671"/>
    <w:rsid w:val="004F04D3"/>
    <w:rsid w:val="00521BBD"/>
    <w:rsid w:val="005C70FD"/>
    <w:rsid w:val="0064764A"/>
    <w:rsid w:val="00684643"/>
    <w:rsid w:val="006B4350"/>
    <w:rsid w:val="006E48E9"/>
    <w:rsid w:val="00701038"/>
    <w:rsid w:val="00713F63"/>
    <w:rsid w:val="00731607"/>
    <w:rsid w:val="00735918"/>
    <w:rsid w:val="007738FE"/>
    <w:rsid w:val="007A6C36"/>
    <w:rsid w:val="007C2893"/>
    <w:rsid w:val="00805399"/>
    <w:rsid w:val="00834A5A"/>
    <w:rsid w:val="009023AC"/>
    <w:rsid w:val="00A16F1C"/>
    <w:rsid w:val="00B44480"/>
    <w:rsid w:val="00BA5404"/>
    <w:rsid w:val="00C36C6F"/>
    <w:rsid w:val="00CE0462"/>
    <w:rsid w:val="00CE62BD"/>
    <w:rsid w:val="00D4758D"/>
    <w:rsid w:val="00D75E6A"/>
    <w:rsid w:val="00E60E85"/>
    <w:rsid w:val="00E82B32"/>
    <w:rsid w:val="00E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CE21"/>
  <w15:chartTrackingRefBased/>
  <w15:docId w15:val="{ADEB1DCD-47CF-C54D-9E47-B2EF358D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67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E8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60E85"/>
    <w:rPr>
      <w:b/>
      <w:bCs/>
    </w:rPr>
  </w:style>
  <w:style w:type="character" w:customStyle="1" w:styleId="apple-converted-space">
    <w:name w:val="apple-converted-space"/>
    <w:basedOn w:val="DefaultParagraphFont"/>
    <w:rsid w:val="00E60E85"/>
  </w:style>
  <w:style w:type="paragraph" w:styleId="Header">
    <w:name w:val="header"/>
    <w:basedOn w:val="Normal"/>
    <w:link w:val="HeaderChar"/>
    <w:uiPriority w:val="99"/>
    <w:unhideWhenUsed/>
    <w:rsid w:val="005C70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0FD"/>
  </w:style>
  <w:style w:type="paragraph" w:styleId="Footer">
    <w:name w:val="footer"/>
    <w:basedOn w:val="Normal"/>
    <w:link w:val="FooterChar"/>
    <w:uiPriority w:val="99"/>
    <w:unhideWhenUsed/>
    <w:rsid w:val="005C70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0FD"/>
  </w:style>
  <w:style w:type="paragraph" w:styleId="ListParagraph">
    <w:name w:val="List Paragraph"/>
    <w:basedOn w:val="Normal"/>
    <w:uiPriority w:val="34"/>
    <w:qFormat/>
    <w:rsid w:val="0068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80A93C0B6D4C42BD2778B7CEC74632" ma:contentTypeVersion="18" ma:contentTypeDescription="Create a new document." ma:contentTypeScope="" ma:versionID="124d68b3787b03962745d44aa0561d2c">
  <xsd:schema xmlns:xsd="http://www.w3.org/2001/XMLSchema" xmlns:xs="http://www.w3.org/2001/XMLSchema" xmlns:p="http://schemas.microsoft.com/office/2006/metadata/properties" xmlns:ns2="743b6f64-d5bd-4473-af49-db68d7dc7ed6" xmlns:ns3="786ca536-5558-4a50-be6f-bc39922cd297" targetNamespace="http://schemas.microsoft.com/office/2006/metadata/properties" ma:root="true" ma:fieldsID="8966c120c150aa1946ae04b38efbc201" ns2:_="" ns3:_="">
    <xsd:import namespace="743b6f64-d5bd-4473-af49-db68d7dc7ed6"/>
    <xsd:import namespace="786ca536-5558-4a50-be6f-bc39922cd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b6f64-d5bd-4473-af49-db68d7dc7e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3ad1a4-bcb6-4664-8873-2816a39d13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ca536-5558-4a50-be6f-bc39922cd2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7adc7e8-124b-4582-aee7-f286fb9ba94d}" ma:internalName="TaxCatchAll" ma:showField="CatchAllData" ma:web="786ca536-5558-4a50-be6f-bc39922cd2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F77122-D8A4-49D3-8545-A4B396455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b6f64-d5bd-4473-af49-db68d7dc7ed6"/>
    <ds:schemaRef ds:uri="786ca536-5558-4a50-be6f-bc39922cd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98CE0-411F-4B84-8EF6-0C40FB62A2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Giedre Milinkeviciute</dc:creator>
  <cp:keywords/>
  <dc:description/>
  <cp:lastModifiedBy>Angela Gomez Arboledas</cp:lastModifiedBy>
  <cp:revision>28</cp:revision>
  <dcterms:created xsi:type="dcterms:W3CDTF">2022-10-27T21:42:00Z</dcterms:created>
  <dcterms:modified xsi:type="dcterms:W3CDTF">2024-02-16T18:44:00Z</dcterms:modified>
</cp:coreProperties>
</file>