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Шо працівники можуть робити, а що не можуть?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Базова одиниця товару: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Ведення БД власних видів товару.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Автоматичне генерування коду нового товару (що буде використовуватися, як штрих-код).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Завантаження прайс-листа постачальника “Омега”.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Замовлення: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Додавання, редагування та видалення.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Підтримка різних типів замовлень: рахунки, накладні і податкові накладні.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Спеціальна нумерація для кожного типу.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Формування спеціальних форм на базі типів замовлень (html на друк, xml).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Розпочинати нову нумерацію для документів кожного року.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Надходження: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Додавання, редагування та видалення.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Додавання надходження використовуючи накладну постачальника “Омега”, </w:t>
      </w:r>
      <w:r w:rsidDel="00000000" w:rsidR="00000000" w:rsidRPr="00000000">
        <w:rPr>
          <w:rtl w:val="0"/>
        </w:rPr>
        <w:t xml:space="preserve">“Інтер карс”, “Уаз”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Формування накладних на повернення товару (html).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Спеціальна нумерація.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БД існуючого товару: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Анатітика: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Клієнти відсортовані по сумі куплених товарів.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Валовий дохід за обраний період.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Перегляд всіх виконаних працівником дій за певний період.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Інвентаризація: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Перевірка, співвідношення реального товару до товару по БД.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Виведення інформації про те, якого товару не вистачає, чи який товар лишній.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Користувачі програми: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Авторизація, реєстрація.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Існування адміністраторів (привілейованих користувачів).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Логування виконаних дій за часом виконання.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Працівники (ті, хто буде значитися у документах, як продавець “ФОП Андрійчук …”):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Додавання, редагування та видалення (можливість лише у адміністратора).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Клієнти: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Додавання, редагування та видалення.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Пошук клієнта за іменем, за номером телефона,</w:t>
      </w:r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rtl w:val="0"/>
        </w:rPr>
        <w:t xml:space="preserve">за VIN-кодом.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Поділ клієнтів на організації і звичайних покупців.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Моніторинг покупок клієнта за певний час.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Надання клієнтам привілеїв (скидки).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Друкування та сканування: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Друк створених (у п.1.c та п.2.b) html-форм документів.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Друкування етикеток зі штрих-кодами. Повинні містити ціну та назву товару.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Сканування створених штрих-кодів.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