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Methods</w:t>
      </w:r>
    </w:p>
    <w:p>
      <w:pPr>
        <w:jc w:val="center"/>
      </w:pPr>
      <w:r>
        <w:rPr>
          <w:rFonts w:ascii="Arial" w:hAnsi="Arial"/>
          <w:color w:val="646464"/>
          <w:sz w:val="20"/>
        </w:rPr>
        <w:t>Living Systems as Decentralized Economies</w:t>
        <w:br/>
        <w:t>BME 129C Capstone — Sage Clokey — Spring 2026</w:t>
        <w:br/>
        <w:t>Advisor: R. Dubois, UC Santa Cruz</w:t>
      </w:r>
    </w:p>
    <w:p/>
    <w:p>
      <w:pPr>
        <w:pStyle w:val="Heading1"/>
      </w:pPr>
      <w:r>
        <w:t>1. Databases, Software, and Data Sources</w:t>
      </w:r>
    </w:p>
    <w:p>
      <w:pPr>
        <w:spacing w:after="120"/>
      </w:pPr>
      <w:r>
        <w:t>All analyses were implemented in Python 3.12. The following databases and software libraries were used. Network construction and graph analysis used NetworkX 3.6 (Hagberg et al., 2008). Single-cell RNA sequencing analysis used Scanpy 1.12 (Wolf et al., 2018). Genome-scale metabolic modeling used COBRApy 0.31 (Ebrahim et al., 2013). Power-law fitting used the powerlaw library 2.0 (Alstott et al., 2014; method of Clauset, Shalizi, &amp; Newman, 2009). Statistical analysis used SciPy 1.17 and NumPy 2.4. Visualization used Matplotlib 3.10 and python-pptx 1.0. The complete analysis pipeline is executable via a single command (python run_all.py) and is version-controlled on GitHub.</w:t>
      </w:r>
    </w:p>
    <w:p>
      <w:pPr>
        <w:pStyle w:val="Heading2"/>
      </w:pPr>
      <w:r>
        <w:t>Table 1. Databases and Accession Numbers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Database</w:t>
            </w:r>
          </w:p>
        </w:tc>
        <w:tc>
          <w:tcPr>
            <w:tcW w:type="dxa" w:w="2160"/>
          </w:tcPr>
          <w:p>
            <w:r>
              <w:rPr>
                <w:rFonts w:ascii="Arial" w:hAnsi="Arial"/>
                <w:b/>
                <w:sz w:val="18"/>
              </w:rPr>
              <w:t>URL / Accession</w:t>
            </w:r>
          </w:p>
        </w:tc>
        <w:tc>
          <w:tcPr>
            <w:tcW w:type="dxa" w:w="2160"/>
          </w:tcPr>
          <w:p>
            <w:r>
              <w:rPr>
                <w:rFonts w:ascii="Arial" w:hAnsi="Arial"/>
                <w:b/>
                <w:sz w:val="18"/>
              </w:rPr>
              <w:t>Data Retrieved</w:t>
            </w:r>
          </w:p>
        </w:tc>
        <w:tc>
          <w:tcPr>
            <w:tcW w:type="dxa" w:w="2160"/>
          </w:tcPr>
          <w:p>
            <w:r>
              <w:rPr>
                <w:rFonts w:ascii="Arial" w:hAnsi="Arial"/>
                <w:b/>
                <w:sz w:val="18"/>
              </w:rPr>
              <w:t>Layer</w:t>
            </w:r>
          </w:p>
        </w:tc>
      </w:tr>
      <w:tr>
        <w:tc>
          <w:tcPr>
            <w:tcW w:type="dxa" w:w="2160"/>
          </w:tcPr>
          <w:p>
            <w:r>
              <w:rPr>
                <w:rFonts w:ascii="Arial" w:hAnsi="Arial"/>
                <w:sz w:val="16"/>
              </w:rPr>
              <w:t>RegulonDB v11</w:t>
            </w:r>
          </w:p>
        </w:tc>
        <w:tc>
          <w:tcPr>
            <w:tcW w:type="dxa" w:w="2160"/>
          </w:tcPr>
          <w:p>
            <w:r>
              <w:rPr>
                <w:rFonts w:ascii="Arial" w:hAnsi="Arial"/>
                <w:sz w:val="16"/>
              </w:rPr>
              <w:t>regulondb.ccg.unam.mx</w:t>
            </w:r>
          </w:p>
        </w:tc>
        <w:tc>
          <w:tcPr>
            <w:tcW w:type="dxa" w:w="2160"/>
          </w:tcPr>
          <w:p>
            <w:r>
              <w:rPr>
                <w:rFonts w:ascii="Arial" w:hAnsi="Arial"/>
                <w:sz w:val="16"/>
              </w:rPr>
              <w:t>E. coli K-12 TF-gene interactions (282 nodes, 308 edges)</w:t>
            </w:r>
          </w:p>
        </w:tc>
        <w:tc>
          <w:tcPr>
            <w:tcW w:type="dxa" w:w="2160"/>
          </w:tcPr>
          <w:p>
            <w:r>
              <w:rPr>
                <w:rFonts w:ascii="Arial" w:hAnsi="Arial"/>
                <w:sz w:val="16"/>
              </w:rPr>
              <w:t>1</w:t>
            </w:r>
          </w:p>
        </w:tc>
      </w:tr>
      <w:tr>
        <w:tc>
          <w:tcPr>
            <w:tcW w:type="dxa" w:w="2160"/>
          </w:tcPr>
          <w:p>
            <w:r>
              <w:rPr>
                <w:rFonts w:ascii="Arial" w:hAnsi="Arial"/>
                <w:sz w:val="16"/>
              </w:rPr>
              <w:t>KEGG REST API</w:t>
            </w:r>
          </w:p>
        </w:tc>
        <w:tc>
          <w:tcPr>
            <w:tcW w:type="dxa" w:w="2160"/>
          </w:tcPr>
          <w:p>
            <w:r>
              <w:rPr>
                <w:rFonts w:ascii="Arial" w:hAnsi="Arial"/>
                <w:sz w:val="16"/>
              </w:rPr>
              <w:t>rest.kegg.jp</w:t>
              <w:br/>
              <w:t>eco00010, eco00020, eco00190, eco00230, eco00240, eco00061, eco00260, eco00620</w:t>
            </w:r>
          </w:p>
        </w:tc>
        <w:tc>
          <w:tcPr>
            <w:tcW w:type="dxa" w:w="2160"/>
          </w:tcPr>
          <w:p>
            <w:r>
              <w:rPr>
                <w:rFonts w:ascii="Arial" w:hAnsi="Arial"/>
                <w:sz w:val="16"/>
              </w:rPr>
              <w:t>E. coli and S. cerevisiae metabolic pathway networks</w:t>
            </w:r>
          </w:p>
        </w:tc>
        <w:tc>
          <w:tcPr>
            <w:tcW w:type="dxa" w:w="2160"/>
          </w:tcPr>
          <w:p>
            <w:r>
              <w:rPr>
                <w:rFonts w:ascii="Arial" w:hAnsi="Arial"/>
                <w:sz w:val="16"/>
              </w:rPr>
              <w:t>1</w:t>
            </w:r>
          </w:p>
        </w:tc>
      </w:tr>
      <w:tr>
        <w:tc>
          <w:tcPr>
            <w:tcW w:type="dxa" w:w="2160"/>
          </w:tcPr>
          <w:p>
            <w:r>
              <w:rPr>
                <w:rFonts w:ascii="Arial" w:hAnsi="Arial"/>
                <w:sz w:val="16"/>
              </w:rPr>
              <w:t>STRING v12</w:t>
            </w:r>
          </w:p>
        </w:tc>
        <w:tc>
          <w:tcPr>
            <w:tcW w:type="dxa" w:w="2160"/>
          </w:tcPr>
          <w:p>
            <w:r>
              <w:rPr>
                <w:rFonts w:ascii="Arial" w:hAnsi="Arial"/>
                <w:sz w:val="16"/>
              </w:rPr>
              <w:t>string-db.org</w:t>
              <w:br/>
              <w:t>Taxon 511145 (E. coli), 4932 (yeast)</w:t>
            </w:r>
          </w:p>
        </w:tc>
        <w:tc>
          <w:tcPr>
            <w:tcW w:type="dxa" w:w="2160"/>
          </w:tcPr>
          <w:p>
            <w:r>
              <w:rPr>
                <w:rFonts w:ascii="Arial" w:hAnsi="Arial"/>
                <w:sz w:val="16"/>
              </w:rPr>
              <w:t>Protein-protein interaction networks (score &gt;= 0.7)</w:t>
            </w:r>
          </w:p>
        </w:tc>
        <w:tc>
          <w:tcPr>
            <w:tcW w:type="dxa" w:w="2160"/>
          </w:tcPr>
          <w:p>
            <w:r>
              <w:rPr>
                <w:rFonts w:ascii="Arial" w:hAnsi="Arial"/>
                <w:sz w:val="16"/>
              </w:rPr>
              <w:t>1</w:t>
            </w:r>
          </w:p>
        </w:tc>
      </w:tr>
      <w:tr>
        <w:tc>
          <w:tcPr>
            <w:tcW w:type="dxa" w:w="2160"/>
          </w:tcPr>
          <w:p>
            <w:r>
              <w:rPr>
                <w:rFonts w:ascii="Arial" w:hAnsi="Arial"/>
                <w:sz w:val="16"/>
              </w:rPr>
              <w:t>10x Genomics / Scanpy</w:t>
            </w:r>
          </w:p>
        </w:tc>
        <w:tc>
          <w:tcPr>
            <w:tcW w:type="dxa" w:w="2160"/>
          </w:tcPr>
          <w:p>
            <w:r>
              <w:rPr>
                <w:rFonts w:ascii="Arial" w:hAnsi="Arial"/>
                <w:sz w:val="16"/>
              </w:rPr>
              <w:t>scanpy.datasets.pbmc3k()</w:t>
              <w:br/>
              <w:t>GEO: GSE115189 (related)</w:t>
            </w:r>
          </w:p>
        </w:tc>
        <w:tc>
          <w:tcPr>
            <w:tcW w:type="dxa" w:w="2160"/>
          </w:tcPr>
          <w:p>
            <w:r>
              <w:rPr>
                <w:rFonts w:ascii="Arial" w:hAnsi="Arial"/>
                <w:sz w:val="16"/>
              </w:rPr>
              <w:t>Human PBMC scRNA-seq (2,638 cells, 13,714 genes, 8 cell types)</w:t>
            </w:r>
          </w:p>
        </w:tc>
        <w:tc>
          <w:tcPr>
            <w:tcW w:type="dxa" w:w="2160"/>
          </w:tcPr>
          <w:p>
            <w:r>
              <w:rPr>
                <w:rFonts w:ascii="Arial" w:hAnsi="Arial"/>
                <w:sz w:val="16"/>
              </w:rPr>
              <w:t>1b</w:t>
            </w:r>
          </w:p>
        </w:tc>
      </w:tr>
      <w:tr>
        <w:tc>
          <w:tcPr>
            <w:tcW w:type="dxa" w:w="2160"/>
          </w:tcPr>
          <w:p>
            <w:r>
              <w:rPr>
                <w:rFonts w:ascii="Arial" w:hAnsi="Arial"/>
                <w:sz w:val="16"/>
              </w:rPr>
              <w:t>BiGG Models (iML1515)</w:t>
            </w:r>
          </w:p>
        </w:tc>
        <w:tc>
          <w:tcPr>
            <w:tcW w:type="dxa" w:w="2160"/>
          </w:tcPr>
          <w:p>
            <w:r>
              <w:rPr>
                <w:rFonts w:ascii="Arial" w:hAnsi="Arial"/>
                <w:sz w:val="16"/>
              </w:rPr>
              <w:t>bigg.ucsd.edu/models/iML1515</w:t>
              <w:br/>
              <w:t>Monk et al. 2017, Nat Biotechnol 35:904</w:t>
            </w:r>
          </w:p>
        </w:tc>
        <w:tc>
          <w:tcPr>
            <w:tcW w:type="dxa" w:w="2160"/>
          </w:tcPr>
          <w:p>
            <w:r>
              <w:rPr>
                <w:rFonts w:ascii="Arial" w:hAnsi="Arial"/>
                <w:sz w:val="16"/>
              </w:rPr>
              <w:t>E. coli genome-scale metabolic model (2,712 rxns, 1,877 mets, 1,516 genes)</w:t>
            </w:r>
          </w:p>
        </w:tc>
        <w:tc>
          <w:tcPr>
            <w:tcW w:type="dxa" w:w="2160"/>
          </w:tcPr>
          <w:p>
            <w:r>
              <w:rPr>
                <w:rFonts w:ascii="Arial" w:hAnsi="Arial"/>
                <w:sz w:val="16"/>
              </w:rPr>
              <w:t>2</w:t>
            </w:r>
          </w:p>
        </w:tc>
      </w:tr>
      <w:tr>
        <w:tc>
          <w:tcPr>
            <w:tcW w:type="dxa" w:w="2160"/>
          </w:tcPr>
          <w:p>
            <w:r>
              <w:rPr>
                <w:rFonts w:ascii="Arial" w:hAnsi="Arial"/>
                <w:sz w:val="16"/>
              </w:rPr>
              <w:t>Keio Collection</w:t>
            </w:r>
          </w:p>
        </w:tc>
        <w:tc>
          <w:tcPr>
            <w:tcW w:type="dxa" w:w="2160"/>
          </w:tcPr>
          <w:p>
            <w:r>
              <w:rPr>
                <w:rFonts w:ascii="Arial" w:hAnsi="Arial"/>
                <w:sz w:val="16"/>
              </w:rPr>
              <w:t>Baba et al. 2006, Mol Syst Biol 2:2006.0008</w:t>
            </w:r>
          </w:p>
        </w:tc>
        <w:tc>
          <w:tcPr>
            <w:tcW w:type="dxa" w:w="2160"/>
          </w:tcPr>
          <w:p>
            <w:r>
              <w:rPr>
                <w:rFonts w:ascii="Arial" w:hAnsi="Arial"/>
                <w:sz w:val="16"/>
              </w:rPr>
              <w:t>Systematic single-gene knockout growth phenotypes (3,985 genes)</w:t>
            </w:r>
          </w:p>
        </w:tc>
        <w:tc>
          <w:tcPr>
            <w:tcW w:type="dxa" w:w="2160"/>
          </w:tcPr>
          <w:p>
            <w:r>
              <w:rPr>
                <w:rFonts w:ascii="Arial" w:hAnsi="Arial"/>
                <w:sz w:val="16"/>
              </w:rPr>
              <w:t>2</w:t>
            </w:r>
          </w:p>
        </w:tc>
      </w:tr>
      <w:tr>
        <w:tc>
          <w:tcPr>
            <w:tcW w:type="dxa" w:w="2160"/>
          </w:tcPr>
          <w:p>
            <w:r>
              <w:rPr>
                <w:rFonts w:ascii="Arial" w:hAnsi="Arial"/>
                <w:sz w:val="16"/>
              </w:rPr>
              <w:t>Kazusa Codon Usage DB</w:t>
            </w:r>
          </w:p>
        </w:tc>
        <w:tc>
          <w:tcPr>
            <w:tcW w:type="dxa" w:w="2160"/>
          </w:tcPr>
          <w:p>
            <w:r>
              <w:rPr>
                <w:rFonts w:ascii="Arial" w:hAnsi="Arial"/>
                <w:sz w:val="16"/>
              </w:rPr>
              <w:t>kazusa.or.jp/codon/</w:t>
            </w:r>
          </w:p>
        </w:tc>
        <w:tc>
          <w:tcPr>
            <w:tcW w:type="dxa" w:w="2160"/>
          </w:tcPr>
          <w:p>
            <w:r>
              <w:rPr>
                <w:rFonts w:ascii="Arial" w:hAnsi="Arial"/>
                <w:sz w:val="16"/>
              </w:rPr>
              <w:t>RSCU tables for 8 organisms across 4 kingdoms</w:t>
            </w:r>
          </w:p>
        </w:tc>
        <w:tc>
          <w:tcPr>
            <w:tcW w:type="dxa" w:w="2160"/>
          </w:tcPr>
          <w:p>
            <w:r>
              <w:rPr>
                <w:rFonts w:ascii="Arial" w:hAnsi="Arial"/>
                <w:sz w:val="16"/>
              </w:rPr>
              <w:t>3</w:t>
            </w:r>
          </w:p>
        </w:tc>
      </w:tr>
      <w:tr>
        <w:tc>
          <w:tcPr>
            <w:tcW w:type="dxa" w:w="2160"/>
          </w:tcPr>
          <w:p>
            <w:r>
              <w:rPr>
                <w:rFonts w:ascii="Arial" w:hAnsi="Arial"/>
                <w:sz w:val="16"/>
              </w:rPr>
              <w:t>Adaptive Genome Design System</w:t>
            </w:r>
          </w:p>
        </w:tc>
        <w:tc>
          <w:tcPr>
            <w:tcW w:type="dxa" w:w="2160"/>
          </w:tcPr>
          <w:p>
            <w:r>
              <w:rPr>
                <w:rFonts w:ascii="Arial" w:hAnsi="Arial"/>
                <w:sz w:val="16"/>
              </w:rPr>
              <w:t>github.com/Sage-Clokey/adaptive-Automation</w:t>
            </w:r>
          </w:p>
        </w:tc>
        <w:tc>
          <w:tcPr>
            <w:tcW w:type="dxa" w:w="2160"/>
          </w:tcPr>
          <w:p>
            <w:r>
              <w:rPr>
                <w:rFonts w:ascii="Arial" w:hAnsi="Arial"/>
                <w:sz w:val="16"/>
              </w:rPr>
              <w:t>13 pathway profiles, codon compatibility engine, capability map</w:t>
            </w:r>
          </w:p>
        </w:tc>
        <w:tc>
          <w:tcPr>
            <w:tcW w:type="dxa" w:w="2160"/>
          </w:tcPr>
          <w:p>
            <w:r>
              <w:rPr>
                <w:rFonts w:ascii="Arial" w:hAnsi="Arial"/>
                <w:sz w:val="16"/>
              </w:rPr>
              <w:t>2, 3</w:t>
            </w:r>
          </w:p>
        </w:tc>
      </w:tr>
    </w:tbl>
    <w:p/>
    <w:p>
      <w:pPr>
        <w:pStyle w:val="Heading1"/>
      </w:pPr>
      <w:r>
        <w:t>2. Biological Network Construction and Topology Analysis (Layer 1)</w:t>
      </w:r>
    </w:p>
    <w:p>
      <w:pPr>
        <w:spacing w:after="120"/>
      </w:pPr>
      <w:r>
        <w:t>Gene regulatory network. The E. coli K-12 gene regulatory network was constructed from curated transcription factor (TF) to target gene interactions representing the RegulonDB v11 reference dataset (Santos-Zavaleta et al., 2019). The network encodes 282 nodes (25 major transcription factors and their validated targets) and 308 directed edges. Key global regulators include CRP (43 targets), FNR (20 targets), ArcA (15 targets), and LexA (14 targets).</w:t>
      </w:r>
    </w:p>
    <w:p>
      <w:pPr>
        <w:spacing w:after="120"/>
      </w:pPr>
      <w:r>
        <w:t>Metabolic networks. Metabolic pathway networks for E. coli (organism code: eco) and S. cerevisiae (sce) were retrieved from the KEGG REST API (Kanehisa &amp; Goto, 2000). Eight core E. coli pathways were included: glycolysis (eco00010), TCA cycle (eco00020), oxidative phosphorylation (eco00190), purine metabolism (eco00230), pyrimidine metabolism (eco00240), fatty acid biosynthesis (eco00061), glycine/serine/threonine metabolism (eco00260), and pyruvate metabolism (eco00620). Each pathway was encoded as a directed graph with genes and compounds as nodes and edges representing co-participation in metabolic reactions.</w:t>
      </w:r>
    </w:p>
    <w:p>
      <w:pPr>
        <w:spacing w:after="120"/>
      </w:pPr>
      <w:r>
        <w:t>Protein-protein interaction networks. High-confidence PPI networks for E. coli (taxonomy ID 511145) and S. cerevisiae (taxonomy ID 4932) were retrieved from the STRING database v12 (Szklarczyk et al., 2023) using 40 seed genes per organism. Only interactions with combined confidence score &gt;= 0.7 were retained.</w:t>
      </w:r>
    </w:p>
    <w:p>
      <w:pPr>
        <w:spacing w:after="120"/>
      </w:pPr>
      <w:r>
        <w:t>Reference networks. Five synthetic comparison networks were constructed using NetworkX to represent alternative architectures: (1) star graph (pure centralization), (2) Erdos-Renyi random graph, (3) regular lattice, (4) hub-and-spoke (10 hubs), and (5) Barabasi-Albert scale-free model. All reference networks were matched to the largest biological network in node count.</w:t>
      </w:r>
    </w:p>
    <w:p>
      <w:pPr>
        <w:pStyle w:val="Heading2"/>
      </w:pPr>
      <w:r>
        <w:t>Topology Metrics</w:t>
      </w:r>
    </w:p>
    <w:p>
      <w:pPr>
        <w:spacing w:after="120"/>
      </w:pPr>
      <w:r>
        <w:t>Degree distribution and power-law fitting. The degree sequence of each network was fit to a discrete power-law distribution using the method of Clauset, Shalizi, and Newman (2009). Scale-free status was assessed by comparing power-law fit to an exponential alternative using log-likelihood ratio R with significance at p &lt; 0.05.</w:t>
      </w:r>
    </w:p>
    <w:p>
      <w:pPr>
        <w:spacing w:after="120"/>
      </w:pPr>
      <w:r>
        <w:t>Betweenness centrality and Gini coefficient. Betweenness centrality was computed for all nodes using Brandes' algorithm (2001). The Gini coefficient of the betweenness distribution was computed as a measure of centralization inequality.</w:t>
      </w:r>
    </w:p>
    <w:p>
      <w:pPr>
        <w:spacing w:after="120"/>
      </w:pPr>
      <w:r>
        <w:t>Robustness analysis. Network robustness was assessed by iterative node removal under two strategies following Albert et al. (2000): (a) random removal, where nodes are removed uniformly at random, and (b) targeted attack, where the highest-degree node is removed at each step with degree recalculated after each removal. The robustness threshold was defined as the fraction of nodes removed before the giant component drops below 50%.</w:t>
      </w:r>
    </w:p>
    <w:p>
      <w:pPr>
        <w:pStyle w:val="Heading1"/>
      </w:pPr>
      <w:r>
        <w:t>3. Network Motif Analysis (Alon)</w:t>
      </w:r>
    </w:p>
    <w:p>
      <w:pPr>
        <w:spacing w:after="120"/>
      </w:pPr>
      <w:r>
        <w:t>Network motifs were identified using the method of Alon et al. (2002). A triadic census was performed on the E. coli GRN, counting all 16 possible three-node subgraph isomorphism classes (triad types). To determine statistical significance, 1,000 degree-preserving randomized networks were generated by repeated edge swapping (Maslov &amp; Sneppen, 2002), preserving the in-degree and out-degree of every node while destroying higher-order structure. For each triad type, the Z-score was computed as (real count - mean random count) / standard deviation of random counts. Triad types with Z &gt; 2.0 were classified as motifs (over-represented); Z &lt; -2.0 as anti-motifs (suppressed). The feed-forward loop (triad type 030T) was specifically analyzed as a candidate Hayekian price signal motif.</w:t>
      </w:r>
    </w:p>
    <w:p>
      <w:pPr>
        <w:pStyle w:val="Heading1"/>
      </w:pPr>
      <w:r>
        <w:t>4. Self-Regulation Analysis (WBPA)</w:t>
      </w:r>
    </w:p>
    <w:p>
      <w:pPr>
        <w:spacing w:after="120"/>
      </w:pPr>
      <w:r>
        <w:t>The self-regulation mechanism was analyzed following the Weighted Betweenness Preferential Attachment (WBPA) model of Topirceanu et al. (2018). For each network, the Spearman rank correlation between node degree and betweenness centrality was computed. A low correlation (rho &lt; 0.8) indicates that high-degree nodes do not monopolize information flow — the network self-regulates against centralization. The Gini ratio (betweenness Gini / degree Gini) was computed as a self-regulation index; values below 1.0 indicate that betweenness is distributed more equally than degree alone would predict.</w:t>
      </w:r>
    </w:p>
    <w:p>
      <w:pPr>
        <w:spacing w:after="120"/>
      </w:pPr>
      <w:r>
        <w:t>Hub erosion test. To test the WBPA mechanism directly, edges were artificially added to the top 5 highest-degree nodes (10 edges per hub), and the change in betweenness centrality was measured. In self-regulating networks, connecting to a hub should decrease its betweenness (the network routes around it); in centralizing networks, betweenness should increase. Three growth models were compared: degree-preferential attachment (Barabasi-Albert), betweenness-preferential attachment (WBPA), and random attachment, each grown to 300 nodes.</w:t>
      </w:r>
    </w:p>
    <w:p>
      <w:pPr>
        <w:pStyle w:val="Heading1"/>
      </w:pPr>
      <w:r>
        <w:t>5. Single-Cell Economy Analysis (Layer 1b)</w:t>
      </w:r>
    </w:p>
    <w:p>
      <w:pPr>
        <w:spacing w:after="120"/>
      </w:pPr>
      <w:r>
        <w:t>Data. The human PBMC dataset (pbmc3k) was obtained from 10x Genomics via the Scanpy built-in data loader (Wolf et al., 2018). The dataset contains 2,638 cells across 8 cell types: B cells, CD4 T cells, CD8 T cells, CD14+ monocytes, FCGR3A+ monocytes, dendritic cells, megakaryocytes, and NK cells. The raw count matrix (13,714 genes) was preprocessed with standard quality control (minimum 200 genes per cell, minimum 3 cells per gene), total-count normalization to 10,000 reads per cell, and log1p transformation.</w:t>
      </w:r>
    </w:p>
    <w:p>
      <w:pPr>
        <w:spacing w:after="120"/>
      </w:pPr>
      <w:r>
        <w:t>Specialization scores. For each cell type, Shannon entropy of the mean expression vector was computed and normalized by log(number of expressed genes). Lower normalized entropy indicates higher specialization — the cell type concentrates its transcriptional output on a narrow gene program.</w:t>
      </w:r>
    </w:p>
    <w:p>
      <w:pPr>
        <w:spacing w:after="120"/>
      </w:pPr>
      <w:r>
        <w:t>Cell-cell communication network. Intercellular communication was inferred from 30 curated ligand-receptor pairs relevant to immune signaling, drawn from Ramilowski et al. (2015) and CellChat (Jin et al., 2021). A pair was scored as active between cell types A and B if both the ligand (in A) and receptor (in B) exceeded a mean expression threshold of 0.1 in log-normalized space. Betweenness Gini of the resulting network was computed to assess communication centralization. Robustness was tested by removing each cell type and measuring the fraction of communication edges surviving.</w:t>
      </w:r>
    </w:p>
    <w:p>
      <w:pPr>
        <w:spacing w:after="120"/>
      </w:pPr>
      <w:r>
        <w:t>Comparative advantage. Fold change of mean expression per gene per cell type versus all other cell types was computed. The top 10 enriched genes per cell type were identified as that cell type's comparative advantage.</w:t>
      </w:r>
    </w:p>
    <w:p>
      <w:pPr>
        <w:pStyle w:val="Heading1"/>
      </w:pPr>
      <w:r>
        <w:t>6. Agent-Based Economic Simulation (Layer 2)</w:t>
      </w:r>
    </w:p>
    <w:p>
      <w:pPr>
        <w:spacing w:after="120"/>
      </w:pPr>
      <w:r>
        <w:t>Pathway agents. Thirteen metabolic pathway profiles from the Adaptive Genome Design System were modeled as economic agents. Each agent has defined substrates consumed (demand), products generated (supply), ATP cost (currency), and signal inputs/outputs (price signals). Pathways span four kingdoms: bacterial cellulose synthesis (Komagataeibacter), fungal chitin synthesis (Ganoderma), coral biomineralization (Acropora), spider silk (Trichonephila), firefly bioluminescence (Photinus), heat shock (universal), HIF1a hypoxia (metazoan), Shh patterning (vertebrate), WUS/CLV3 meristem (Arabidopsis), aquaporin (universal), Piwi regeneration (planarian), MMP9 remodeling (vertebrate), and sea urchin biomineralization.</w:t>
      </w:r>
    </w:p>
    <w:p>
      <w:pPr>
        <w:spacing w:after="120"/>
      </w:pPr>
      <w:r>
        <w:t>Three allocation regimes were compared. (1) Distributed (biological): each agent adjusts its own production rate based on local metabolite concentrations — product feedback (reduce if oversupplied), substrate feedback (reduce if scarce), and ATP feedback (reduce if depleted). No agent has information about any other agent. (2) Centralized (naive): a global allocator ranks agents by ATP efficiency and assigns rates proportional to rank. (3) Centralized-smart: a global allocator with real-time metabolite pool access re-optimizes every step based on current scarcity — the 'socialist planning board with a supercomputer' (Mises' strongest opponent). All regimes were run for 200 time steps with ATP regeneration of 2.0 per agent per step and identical external metabolite supply.</w:t>
      </w:r>
    </w:p>
    <w:p>
      <w:pPr>
        <w:spacing w:after="120"/>
      </w:pPr>
      <w:r>
        <w:t>Perturbation suite. Four perturbation types were applied at step 100: (a) substrate shock — 80% reduction in a key substrate supply, testing Hayek's knowledge problem; (b) ATP crisis — 50% reduction in ATP regeneration for 30 steps, testing Mises' calculation problem; (c) demand spike — 3x demand for one product, testing Kirzner's entrepreneurial discovery; (d) novel opportunity — introduction of a new metabolite resource, testing Kirzner's entrepreneurial alertness. Recovery time, trough depth, and GDP gain were measured for all three regimes under each perturbation.</w:t>
      </w:r>
    </w:p>
    <w:p>
      <w:pPr>
        <w:pStyle w:val="Heading1"/>
      </w:pPr>
      <w:r>
        <w:t>7. Flux Balance Analysis (Layer 2)</w:t>
      </w:r>
    </w:p>
    <w:p>
      <w:pPr>
        <w:spacing w:after="120"/>
      </w:pPr>
      <w:r>
        <w:t>Genome-scale metabolic model. The E. coli K-12 MG1655 genome-scale metabolic model iML1515 (Monk et al., 2017; 2,712 reactions, 1,877 metabolites, 1,516 genes) was loaded via COBRApy 0.31 (Ebrahim et al., 2013) from the BiGG Models database. Flux Balance Analysis (FBA) optimizes the linear program max(c^T * v) subject to S*v = 0 and v_lb &lt;= v &lt;= v_ub, where S is the stoichiometric matrix, v is the flux vector, and c is the objective (biomass production). This represents the strongest possible central planner: an omniscient allocator with perfect knowledge of all 2,712 reaction constraints solving simultaneously for optimal growth.</w:t>
      </w:r>
    </w:p>
    <w:p>
      <w:pPr>
        <w:spacing w:after="120"/>
      </w:pPr>
      <w:r>
        <w:t>Gene knockout analysis. Single-gene knockouts were simulated for 51 genes (35 essential and 16 non-essential) using COBRApy's gene knockout function, which properly handles gene-protein-reaction (GPR) associations including AND/OR logic. Gene names were resolved to iML1515 b-numbers (e.g., pgk -&gt; b2926) via the model's gene name annotations. A gene was classified as FBA-essential if knockout growth fell below 5% of wildtype. FBA predictions were compared to published Keio collection growth phenotypes (Baba et al., 2006) to compute accuracy, sensitivity, and specificity of the omniscient planner.</w:t>
      </w:r>
    </w:p>
    <w:p>
      <w:pPr>
        <w:spacing w:after="120"/>
      </w:pPr>
      <w:r>
        <w:t>Shadow price analysis. Shadow prices (dual variables of the LP) were extracted from the FBA solution. These represent the marginal growth value of each metabolite constraint — the Hayekian price signal computed internally by the planner.</w:t>
      </w:r>
    </w:p>
    <w:p>
      <w:pPr>
        <w:spacing w:after="120"/>
      </w:pPr>
      <w:r>
        <w:t>Environmental perturbation. Three perturbations were applied to the iML1515 model: (a) carbon source switch (glucose -&gt; acetate, EX_glc__D_e set to 0, EX_ac_e set to -10 mmol/gDW/h); (b) anaerobic growth (EX_o2_e set to 0); (c) nitrogen limitation (EX_nh4_e set to -1 mmol/gDW/h). For each perturbation, FBA was re-solved and the predicted growth ratio relative to wildtype was compared to known biological responses (diauxic shift, ArcAB/FNR regulon activation, NtrBC nitrogen sensing).</w:t>
      </w:r>
    </w:p>
    <w:p>
      <w:pPr>
        <w:spacing w:after="120"/>
      </w:pPr>
      <w:r>
        <w:t>Conditionally essential genes. Ten genes known to be essential in minimal media but non-essential in rich media (trpA, trpB, hisB, proA, serA, cysE, metA, lysA, pheA, tyrA) were analyzed to test Menger's subjective value: essentiality is not an intrinsic property of the gene but depends on environmental context.</w:t>
      </w:r>
    </w:p>
    <w:p>
      <w:pPr>
        <w:pStyle w:val="Heading1"/>
      </w:pPr>
      <w:r>
        <w:t>8. Cross-Species Trade Network (Layer 3)</w:t>
      </w:r>
    </w:p>
    <w:p>
      <w:pPr>
        <w:spacing w:after="120"/>
      </w:pPr>
      <w:r>
        <w:t>Organisms. Five to eight organisms spanning four kingdoms were modeled: Komagataeibacter xylinus (prokaryote), E. coli K-12 (prokaryote), S. cerevisiae (fungus), Ganoderma lucidum (fungus), Arabidopsis thaliana (plant), Homo sapiens (animal), Acropora millepora (coral), and Ambystoma mexicanum (axolotl).</w:t>
      </w:r>
    </w:p>
    <w:p>
      <w:pPr>
        <w:spacing w:after="120"/>
      </w:pPr>
      <w:r>
        <w:t>Codon usage distance. Relative Synonymous Codon Usage (RSCU) tables were obtained from the Kazusa Codon Usage Database (Nakamura et al., 2000) and the Adaptive Genome Design System. Pairwise codon distance was computed as the Euclidean distance between 61-dimensional RSCU vectors.</w:t>
      </w:r>
    </w:p>
    <w:p>
      <w:pPr>
        <w:spacing w:after="120"/>
      </w:pPr>
      <w:r>
        <w:t>Trade cost. Total trade cost was computed as: C_trade(A,B) = 0.5 * d_codon(A,B) + 0.3 * R_regulatory(A,B) + 0.2 * B_baseline, where d_codon is codon distance, R_regulatory is a regulatory barrier (0.3 for cross-kingdom, 0.1 for same-kingdom), and B_baseline is a constant baseline cost.</w:t>
      </w:r>
    </w:p>
    <w:p>
      <w:pPr>
        <w:spacing w:after="120"/>
      </w:pPr>
      <w:r>
        <w:t>Voluntary exchange validation. FBA predictions were validated against 18 published heterologous expression experiments (GFP in E. coli, human insulin in E. coli, spider silk fibroin in yeast, etc.) with documented success scores. Trade cost was correlated with expression success using Spearman rank correlation. Trade blocs were detected using Louvain community detection on the trade network.</w:t>
      </w:r>
    </w:p>
    <w:p>
      <w:pPr>
        <w:pStyle w:val="Heading1"/>
      </w:pPr>
      <w:r>
        <w:t>9. Data Availability</w:t>
      </w:r>
    </w:p>
    <w:p>
      <w:pPr>
        <w:spacing w:after="120"/>
      </w:pPr>
      <w:r>
        <w:t>All code, analysis pipelines, and cached data for this study are available on GitHub at https://github.com/Sage-Clokey/Living-works-by-the-word in the BME_129C_Capstone/ directory. The complete analysis can be reproduced by running 'python run_all.py' from the project root. Individual layers can be run separately (e.g., 'python run_all.py --layer 2f' for FBA analysis). The --quick flag skips external API calls and uses cached/built-in data.</w:t>
      </w:r>
    </w:p>
    <w:p>
      <w:pPr>
        <w:spacing w:after="120"/>
      </w:pPr>
      <w:r>
        <w:t>Raw data sources are publicly available: RegulonDB (regulondb.ccg.unam.mx), KEGG (rest.kegg.jp), STRING (string-db.org), 10x Genomics pbmc3k dataset (via Scanpy), BiGG Models iML1515 (bigg.ucsd.edu), and Kazusa Codon Usage Database (kazusa.or.jp/codon/). The Adaptive Genome Design System, which provides pathway profiles and codon compatibility infrastructure, is available at https://github.com/Sage-Clokey/adaptive-Automation.</w:t>
      </w:r>
    </w:p>
    <w:p>
      <w:pPr>
        <w:spacing w:after="120"/>
      </w:pPr>
      <w:r>
        <w:t>Generated figures are saved to paper/figures/ (combined multi-panel) and paper/figures/individual/ (one panel per PNG). The presentation is generated by 'python paper/generate_presentation.py' and saved as paper/capstone_presentation.pptx.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