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Arial" w:hAnsi="Arial"/>
          <w:b/>
          <w:i w:val="0"/>
          <w:sz w:val="24"/>
        </w:rPr>
        <w:t>Living systems as decentralized economies: biological networks coordinate through distributed prices, not central planning</w:t>
      </w:r>
    </w:p>
    <w:p>
      <w:pPr>
        <w:spacing w:before="0" w:after="40" w:line="240" w:lineRule="auto"/>
        <w:jc w:val="center"/>
      </w:pPr>
      <w:r>
        <w:rPr>
          <w:rFonts w:ascii="Arial" w:hAnsi="Arial"/>
          <w:b w:val="0"/>
          <w:i w:val="0"/>
          <w:sz w:val="22"/>
        </w:rPr>
        <w:t>Sage Clokey</w:t>
      </w:r>
    </w:p>
    <w:p>
      <w:pPr>
        <w:spacing w:before="0" w:after="40" w:line="240" w:lineRule="auto"/>
        <w:jc w:val="center"/>
      </w:pPr>
      <w:r>
        <w:rPr>
          <w:rFonts w:ascii="Arial" w:hAnsi="Arial"/>
          <w:b w:val="0"/>
          <w:i w:val="0"/>
          <w:sz w:val="20"/>
        </w:rPr>
        <w:t>Department of Bioengineering, University of California, Santa Cruz</w:t>
      </w:r>
    </w:p>
    <w:p>
      <w:pPr>
        <w:spacing w:before="0" w:after="40" w:line="240" w:lineRule="auto"/>
        <w:jc w:val="center"/>
      </w:pPr>
      <w:r>
        <w:rPr>
          <w:rFonts w:ascii="Arial" w:hAnsi="Arial"/>
          <w:b w:val="0"/>
          <w:i w:val="0"/>
          <w:sz w:val="20"/>
        </w:rPr>
        <w:t>BME 129C: Design/Implement BME — Spring 2026</w:t>
      </w:r>
    </w:p>
    <w:p>
      <w:pPr>
        <w:spacing w:before="0" w:after="320" w:line="240" w:lineRule="auto"/>
        <w:jc w:val="center"/>
      </w:pPr>
      <w:r>
        <w:rPr>
          <w:rFonts w:ascii="Arial" w:hAnsi="Arial"/>
          <w:b w:val="0"/>
          <w:i w:val="0"/>
          <w:sz w:val="20"/>
        </w:rPr>
        <w:t>Advisor: R. Dubois</w:t>
      </w:r>
    </w:p>
    <w:p>
      <w:pPr>
        <w:spacing w:before="0" w:after="160" w:line="240" w:lineRule="auto"/>
        <w:jc w:val="left"/>
      </w:pPr>
      <w:r>
        <w:rPr>
          <w:rFonts w:ascii="Arial" w:hAnsi="Arial"/>
          <w:b/>
          <w:i w:val="0"/>
          <w:sz w:val="22"/>
        </w:rPr>
        <w:t>Abstract</w:t>
      </w:r>
    </w:p>
    <w:p>
      <w:pPr>
        <w:spacing w:before="0" w:after="120" w:line="240" w:lineRule="auto"/>
        <w:jc w:val="left"/>
      </w:pPr>
      <w:r>
        <w:rPr>
          <w:rFonts w:ascii="Arial" w:hAnsi="Arial"/>
          <w:b w:val="0"/>
          <w:i w:val="0"/>
          <w:sz w:val="22"/>
        </w:rPr>
        <w:t xml:space="preserve">Synthetic biology overwhelmingly follows the central planning model: the engineer specifies every promoter, every ribosome binding site, every codon — attempting to command the system from above. This study argues that the engineer should instead work like an entrepreneur — setting conditions for distributed coordination, respecting local knowledge, and designing systems that self-correct rather than systems that must be controlled. We ground this argument in Austrian economics and test it with biological data at three scales. (1) Network topology: gene regulatory, metabolic, and protein interaction networks in </w:t>
      </w:r>
      <w:r>
        <w:rPr>
          <w:rFonts w:ascii="Arial" w:hAnsi="Arial"/>
          <w:b w:val="0"/>
          <w:i/>
          <w:sz w:val="22"/>
        </w:rPr>
        <w:t>E. coli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Arial" w:hAnsi="Arial"/>
          <w:b w:val="0"/>
          <w:i/>
          <w:sz w:val="22"/>
        </w:rPr>
        <w:t>S. cerevisiae</w:t>
      </w:r>
      <w:r>
        <w:rPr>
          <w:rFonts w:ascii="Arial" w:hAnsi="Arial"/>
          <w:b w:val="0"/>
          <w:i w:val="0"/>
          <w:sz w:val="22"/>
        </w:rPr>
        <w:t xml:space="preserve"> exhibit scale-free degree distributions (power-law exponent α = 2.05–2.44), tolerate removal of up to 48% of nodes, and collapse an order of magnitude more slowly than centralized architectures under targeted attack — a 19:1 robustness ratio that quantifies the cost of the planning approach. (2) Agent-based economic modeling: metabolic pathways modeled as economic agents reach stable equilibrium through local feedback alone with 2.9× lower variance than centralized allocation, and retain 71.1% of output under critical perturbation versus 53.0% for the planner — the calculation problem, measured in metabolites. (3) Cross-species trade: gene transferability between eight organisms follows the patterns of voluntary exchange, with codon distance as trade friction (within-kingdom: 0.17–0.38; cross-kingdom: 0.65–0.83) and each organism contributing unique comparative advantage. Single-cell RNA sequencing of human immune cells reveals the entrepreneurial pattern at the cellular level: eight specialized cell types, no master cell, communication Gini = 0.0, and 75% communication survival after any single cell type removal. The conclusion for the practicing molecular biologist: design distributed feedback architectures, not command hierarchies. Respect the local knowledge embedded in biological systems rather than overriding it. Build economies, not machines.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