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Arial" w:hAnsi="Arial"/>
          <w:b/>
          <w:i w:val="0"/>
          <w:sz w:val="24"/>
        </w:rPr>
        <w:t>Living systems as decentralized economies: biological networks coordinate through distributed prices, not central planning</w:t>
      </w:r>
    </w:p>
    <w:p>
      <w:pPr>
        <w:spacing w:before="0" w:after="40" w:line="240" w:lineRule="auto"/>
        <w:jc w:val="center"/>
      </w:pPr>
      <w:r>
        <w:rPr>
          <w:rFonts w:ascii="Arial" w:hAnsi="Arial"/>
          <w:b w:val="0"/>
          <w:i w:val="0"/>
          <w:sz w:val="22"/>
        </w:rPr>
        <w:t>Sage Clokey</w:t>
      </w:r>
    </w:p>
    <w:p>
      <w:pPr>
        <w:spacing w:before="0" w:after="40" w:line="240" w:lineRule="auto"/>
        <w:jc w:val="center"/>
      </w:pPr>
      <w:r>
        <w:rPr>
          <w:rFonts w:ascii="Arial" w:hAnsi="Arial"/>
          <w:b w:val="0"/>
          <w:i w:val="0"/>
          <w:sz w:val="20"/>
        </w:rPr>
        <w:t>Department of Biomolecular Engineering and Bioinformatics, University of California, Santa Cruz</w:t>
      </w:r>
    </w:p>
    <w:p>
      <w:pPr>
        <w:spacing w:before="0" w:after="40" w:line="240" w:lineRule="auto"/>
        <w:jc w:val="center"/>
      </w:pPr>
      <w:r>
        <w:rPr>
          <w:rFonts w:ascii="Arial" w:hAnsi="Arial"/>
          <w:b w:val="0"/>
          <w:i w:val="0"/>
          <w:sz w:val="20"/>
        </w:rPr>
        <w:t>BME 129C: Design/Implement BME — Spring 2026</w:t>
      </w:r>
    </w:p>
    <w:p>
      <w:pPr>
        <w:spacing w:before="0" w:after="320" w:line="240" w:lineRule="auto"/>
        <w:jc w:val="center"/>
      </w:pPr>
      <w:r>
        <w:rPr>
          <w:rFonts w:ascii="Arial" w:hAnsi="Arial"/>
          <w:b w:val="0"/>
          <w:i w:val="0"/>
          <w:sz w:val="20"/>
        </w:rPr>
        <w:t>Advisor: R. Dubois</w:t>
      </w:r>
    </w:p>
    <w:p>
      <w:pPr>
        <w:spacing w:before="0" w:after="160" w:line="240" w:lineRule="auto"/>
        <w:jc w:val="left"/>
      </w:pPr>
      <w:r>
        <w:rPr>
          <w:rFonts w:ascii="Arial" w:hAnsi="Arial"/>
          <w:b/>
          <w:i w:val="0"/>
          <w:sz w:val="22"/>
        </w:rPr>
        <w:t>Abstract</w:t>
      </w:r>
    </w:p>
    <w:p>
      <w:pPr>
        <w:spacing w:before="0" w:after="120" w:line="240" w:lineRule="auto"/>
        <w:jc w:val="left"/>
      </w:pPr>
      <w:r>
        <w:rPr>
          <w:rFonts w:ascii="Arial" w:hAnsi="Arial"/>
          <w:b w:val="0"/>
          <w:i w:val="0"/>
          <w:sz w:val="22"/>
        </w:rPr>
        <w:t xml:space="preserve">Living systems coordinate through distributed knowledge, not central planning. In biology there are no central banks, no legal tender laws — there is only voluntary trade between cells, tissues, and organisms, organized by local signals that function as prices. This study tests whether biological coordination is structurally decentralized across multiple scales and whether the machine metaphor that dominates synthetic biology misrepresents how living systems actually organize. We analyze gene regulatory, metabolic, and protein interaction networks in </w:t>
      </w:r>
      <w:r>
        <w:rPr>
          <w:rFonts w:ascii="Arial" w:hAnsi="Arial"/>
          <w:b w:val="0"/>
          <w:i/>
          <w:sz w:val="22"/>
        </w:rPr>
        <w:t>Escherichia coli</w:t>
      </w:r>
      <w:r>
        <w:rPr>
          <w:rFonts w:ascii="Arial" w:hAnsi="Arial"/>
          <w:b w:val="0"/>
          <w:i w:val="0"/>
          <w:sz w:val="22"/>
        </w:rPr>
        <w:t xml:space="preserve"> and </w:t>
      </w:r>
      <w:r>
        <w:rPr>
          <w:rFonts w:ascii="Arial" w:hAnsi="Arial"/>
          <w:b w:val="0"/>
          <w:i/>
          <w:sz w:val="22"/>
        </w:rPr>
        <w:t>Saccharomyces cerevisiae</w:t>
      </w:r>
      <w:r>
        <w:rPr>
          <w:rFonts w:ascii="Arial" w:hAnsi="Arial"/>
          <w:b w:val="0"/>
          <w:i w:val="0"/>
          <w:sz w:val="22"/>
        </w:rPr>
        <w:t xml:space="preserve"> and find scale-free architectures with no master node, tolerating removal of up to 48% of nodes while centralized architectures collapse under targeted attack at a 19:1 robustness ratio. Agent-based modeling of metabolic pathways as economic agents shows that distributed coordination through local feedback alone reaches stable equilibrium with 2.9-fold lower variance than centralized allocation, retaining 71.1% of output under perturbation versus 53.0% for the central planner. Cross-species gene transferability across eight organisms from four kingdoms follows patterns of voluntary exchange, with codon usage distance as trade friction (within-kingdom 0.17–0.38, cross-kingdom 0.65–0.83) and each organism contributing unique comparative advantage. Single-cell RNA sequencing of human immune cells reveals eight specialized cell types differentiating without a master cell, intercellular communication with a Gini coefficient of 0.0, and 75% communication survival after any single cell type removal. The variation across these systems is not random — it is directed by distributed knowledge of local conditions, just as market variation is directed by prices. Living things are not machines. The diversity of life is ordered by choice at every node, and reducing that order to centralized control destroys the knowledge that makes it work. Bioinformatics is the study of this distributed knowledge written into the language of DNA. Build economies, not machines.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