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Pr>
          <w:sz w:val="22"/>
        </w:rPr>
        <w:t>Student: Sage Clokey (Individual Project) — Week 4 (April 14–18, 2026)</w:t>
      </w:r>
    </w:p>
    <w:p w:rsidR="00000000" w:rsidDel="00000000" w:rsidP="00000000" w:rsidRDefault="00000000" w:rsidRPr="00000000" w14:paraId="00000002">
      <w:pPr>
        <w:ind w:left="0" w:firstLine="0"/>
        <w:rPr>
          <w:b w:val="1"/>
        </w:rPr>
      </w:pPr>
      <w:r w:rsidDel="00000000" w:rsidR="00000000" w:rsidRPr="00000000">
        <w:rPr>
          <w:rtl w:val="0"/>
        </w:rPr>
      </w:r>
    </w:p>
    <w:p w:rsidR="00000000" w:rsidDel="00000000" w:rsidP="00000000" w:rsidRDefault="00000000" w:rsidRPr="00000000" w14:paraId="00000003">
      <w:pPr>
        <w:ind w:left="0" w:firstLine="0"/>
        <w:rPr>
          <w:b w:val="1"/>
        </w:rPr>
      </w:pPr>
      <w:r w:rsidDel="00000000" w:rsidR="00000000" w:rsidRPr="00000000">
        <w:rPr>
          <w:b w:val="1"/>
          <w:rtl w:val="0"/>
        </w:rPr>
        <w:t xml:space="preserve">Summary of key accomplishments:</w:t>
      </w:r>
    </w:p>
    <w:p w:rsidR="00000000" w:rsidDel="00000000" w:rsidP="00000000" w:rsidRDefault="00000000" w:rsidRPr="00000000" w14:paraId="00000004">
      <w:pPr>
        <w:ind w:left="0" w:firstLine="0"/>
        <w:rPr>
          <w:b w:val="1"/>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820"/>
        <w:gridCol w:w="3510"/>
        <w:gridCol w:w="1755"/>
        <w:tblGridChange w:id="0">
          <w:tblGrid>
            <w:gridCol w:w="1260"/>
            <w:gridCol w:w="2820"/>
            <w:gridCol w:w="3510"/>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 of 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Time Spent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Signature</w:t>
            </w:r>
          </w:p>
        </w:tc>
      </w:tr>
      <w:tr>
        <w:tc>
          <w:tcPr>
            <w:tcW w:type="dxa" w:w="1260"/>
          </w:tcPr>
          <w:p>
            <w:r>
              <w:t>Sage Clokey</w:t>
            </w:r>
          </w:p>
        </w:tc>
        <w:tc>
          <w:tcPr>
            <w:tcW w:type="dxa" w:w="2820"/>
          </w:tcPr>
          <w:p>
            <w:r>
              <w:t>Integrated Fatal Conceit across paper. Wrote Design Principles section (two architectures). Designed experimental spread (6 violacein experiments).</w:t>
            </w:r>
          </w:p>
        </w:tc>
        <w:tc>
          <w:tcPr>
            <w:tcW w:type="dxa" w:w="3510"/>
          </w:tcPr>
          <w:p>
            <w:r>
              <w:t>4 hrs</w:t>
            </w:r>
          </w:p>
        </w:tc>
        <w:tc>
          <w:tcPr>
            <w:tcW w:type="dxa" w:w="1755"/>
          </w:tcPr>
          <w:p>
            <w:r>
              <w:t>Sage Clokey</w:t>
            </w:r>
          </w:p>
        </w:tc>
      </w:tr>
      <w:tr>
        <w:tc>
          <w:tcPr>
            <w:tcW w:type="dxa" w:w="1260"/>
          </w:tcPr>
          <w:p>
            <w:r>
              <w:t>Sage Clokey</w:t>
            </w:r>
          </w:p>
        </w:tc>
        <w:tc>
          <w:tcPr>
            <w:tcW w:type="dxa" w:w="2820"/>
          </w:tcPr>
          <w:p>
            <w:r>
              <w:t>Overhauled all figure code: data-point-forward visualization across 6 analysis files. Regenerated all 21 figures. Fixed price_signals bug.</w:t>
            </w:r>
          </w:p>
        </w:tc>
        <w:tc>
          <w:tcPr>
            <w:tcW w:type="dxa" w:w="3510"/>
          </w:tcPr>
          <w:p>
            <w:r>
              <w:t>3 hrs</w:t>
            </w:r>
          </w:p>
        </w:tc>
        <w:tc>
          <w:tcPr>
            <w:tcW w:type="dxa" w:w="1755"/>
          </w:tcPr>
          <w:p>
            <w:r>
              <w:t>Sage Clokey</w:t>
            </w:r>
          </w:p>
        </w:tc>
      </w:tr>
      <w:tr>
        <w:tc>
          <w:tcPr>
            <w:tcW w:type="dxa" w:w="1260"/>
          </w:tcPr>
          <w:p>
            <w:r>
              <w:t>Sage Clokey</w:t>
            </w:r>
          </w:p>
        </w:tc>
        <w:tc>
          <w:tcPr>
            <w:tcW w:type="dxa" w:w="2820"/>
          </w:tcPr>
          <w:p>
            <w:r>
              <w:t>Built Week 4 progress report slides (7 slides with speaker notes). Paper editing and formatting.</w:t>
            </w:r>
          </w:p>
        </w:tc>
        <w:tc>
          <w:tcPr>
            <w:tcW w:type="dxa" w:w="3510"/>
          </w:tcPr>
          <w:p>
            <w:r>
              <w:t>1.5 hrs</w:t>
            </w:r>
          </w:p>
        </w:tc>
        <w:tc>
          <w:tcPr>
            <w:tcW w:type="dxa" w:w="1755"/>
          </w:tcPr>
          <w:p>
            <w:r>
              <w:t>Sage Clokey</w:t>
            </w:r>
          </w:p>
        </w:tc>
      </w:tr>
      <w:tr>
        <w:tc>
          <w:tcPr>
            <w:tcW w:type="dxa" w:w="1260"/>
          </w:tcPr>
          <w:p>
            <w:r>
              <w:t>TOTAL</w:t>
            </w:r>
          </w:p>
        </w:tc>
        <w:tc>
          <w:tcPr>
            <w:tcW w:type="dxa" w:w="2820"/>
          </w:tcPr>
          <w:p/>
        </w:tc>
        <w:tc>
          <w:tcPr>
            <w:tcW w:type="dxa" w:w="3510"/>
          </w:tcPr>
          <w:p>
            <w:r>
              <w:t>8.5 hrs</w:t>
            </w:r>
          </w:p>
        </w:tc>
        <w:tc>
          <w:tcPr>
            <w:tcW w:type="dxa" w:w="1755"/>
          </w:tcPr>
          <w:p/>
        </w:tc>
      </w:tr>
    </w:tbl>
    <w:p>
      <w:r>
        <w:rPr>
          <w:rFonts w:ascii="Calibri" w:hAnsi="Calibri"/>
          <w:sz w:val="22"/>
        </w:rPr>
        <w:t>Accomplishment 1: Integrated Hayek’s The Fatal Conceit (1988) across the capstone paper and slide decks. Key passage: ‘The curious task of economics is to demonstrate to men how little they really know about what they imagine they can design.’ Applied directly to synthetic biology: redesigning evolved order destroys information the designer cannot possess.</w:t>
      </w:r>
    </w:p>
    <w:p/>
    <w:p>
      <w:r>
        <w:rPr>
          <w:rFonts w:ascii="Calibri" w:hAnsi="Calibri"/>
          <w:sz w:val="22"/>
        </w:rPr>
        <w:t>Accomplishment 2: Wrote Section 4.2: Design Principles — Engineering Economies, Not Machines. Two concrete architectures for sagent engineering: (1) single organism designed FOR evolution (feedback promoters, codon harmonization, shadow-price-informed expression), and (2) microbial consortium with division of labor mirroring the PBMC data from Layer 1b.</w:t>
      </w:r>
    </w:p>
    <w:p/>
    <w:p>
      <w:r>
        <w:rPr>
          <w:rFonts w:ascii="Calibri" w:hAnsi="Calibri"/>
          <w:sz w:val="22"/>
        </w:rPr>
        <w:t>Accomplishment 3: Designed Section 4.7: Experimental Spread — 6 Violacein Pathway Experiments. Each experiment tests one Austrian economic prediction with wet-lab data. Violacein (vioABCDE from C. violaceum) is a purple pigment quantifiable at 575nm. Experiments: (1) Fixed vs Feedback Promoters (Hayek), (2) Star vs Distributed Control (Mises), (3) Single Strain vs Consortium (Menger), (4) Codon Optimization vs Harmonization (Layer 3), (5) Adaptive Evolution over 100 generations (Kirzner), (6) Perturbation Gauntlet (Rothbard).</w:t>
      </w:r>
    </w:p>
    <w:p/>
    <w:p>
      <w:r>
        <w:rPr>
          <w:rFonts w:ascii="Calibri" w:hAnsi="Calibri"/>
          <w:sz w:val="22"/>
        </w:rPr>
        <w:t>Accomplishment 4: Overhauled all figure code with data-point-forward visualization. New principle: variation IS the data — averages hide what matters. Bar charts replaced with semi-transparent bars plus scatter overlay, robustness curves show individual trial lines, hub erosion uses per-hub jitter plots with median lines. Updated 6 analysis files, regenerated all 21 figures through the full pipeline.</w:t>
      </w:r>
    </w:p>
    <w:p/>
    <w:p>
      <w:r>
        <w:rPr>
          <w:rFonts w:ascii="Calibri" w:hAnsi="Calibri"/>
          <w:sz w:val="22"/>
        </w:rPr>
        <w:t>Accomplishment 5: Fixed price_signals bug in single_cell_economy.py and regenerated all Layer 1b figures. Built progress report slide deck (Week 4, 7 slides) with speaker notes.</w:t>
      </w:r>
    </w:p>
    <w:p/>
    <w:p>
      <w:r>
        <w:rPr>
          <w:rFonts w:ascii="Calibri" w:hAnsi="Calibri"/>
          <w:sz w:val="22"/>
        </w:rPr>
        <w:t>Challenges:</w:t>
      </w:r>
    </w:p>
    <w:p/>
    <w:p>
      <w:r>
        <w:rPr>
          <w:rFonts w:ascii="Calibri" w:hAnsi="Calibri"/>
          <w:sz w:val="22"/>
        </w:rPr>
        <w:t>Challenge 1: Need to add formal statistical validation across all layers. Mann-Whitney U for distributed vs centralized GDP, bootstrap confidence intervals on robustness metrics, KS test for power-law degree distribution fit. Planned for Week 5.</w:t>
      </w:r>
    </w:p>
    <w:p/>
    <w:p>
      <w:r>
        <w:rPr>
          <w:rFonts w:ascii="Calibri" w:hAnsi="Calibri"/>
          <w:sz w:val="22"/>
        </w:rPr>
        <w:t>Challenge 2: Experimental spread needs advisor feedback on feasibility. The 6 violacein experiments span promoter engineering, consortium design, directed evolution, and stress testing — need Dubois input on what’s achievable with available wet-lab resources. Prioritize experiments 1–3 if resources are limited.</w:t>
      </w:r>
    </w:p>
    <w:p/>
    <w:p>
      <w:r>
        <w:rPr>
          <w:rFonts w:ascii="Calibri" w:hAnsi="Calibri"/>
          <w:sz w:val="22"/>
        </w:rPr>
        <w:t>Challenge 3: Paper currently at 3 layers of evidence. The immune system and genome-wide analyses are natural extensions but would require significant new analysis pipelines. Deciding whether to deepen existing layers or broaden to new ones.</w:t>
      </w:r>
    </w:p>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