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pPr>
      <w:r>
        <w:rPr>
          <w:sz w:val="22"/>
        </w:rPr>
        <w:t>Student: Sage Clokey (Individual Project) — Week 5 (April 19–25, 2026)</w:t>
      </w:r>
    </w:p>
    <w:p w:rsidR="00000000" w:rsidDel="00000000" w:rsidP="00000000" w:rsidRDefault="00000000" w:rsidRPr="00000000" w14:paraId="00000002">
      <w:pPr>
        <w:ind w:left="0" w:firstLine="0"/>
        <w:rPr>
          <w:b w:val="1"/>
        </w:rPr>
      </w:pPr>
      <w:r w:rsidDel="00000000" w:rsidR="00000000" w:rsidRPr="00000000">
        <w:rPr>
          <w:rtl w:val="0"/>
        </w:rPr>
      </w:r>
    </w:p>
    <w:p w:rsidR="00000000" w:rsidDel="00000000" w:rsidP="00000000" w:rsidRDefault="00000000" w:rsidRPr="00000000" w14:paraId="00000003">
      <w:pPr>
        <w:ind w:left="0" w:firstLine="0"/>
        <w:rPr>
          <w:b w:val="1"/>
        </w:rPr>
      </w:pPr>
      <w:r w:rsidDel="00000000" w:rsidR="00000000" w:rsidRPr="00000000">
        <w:rPr>
          <w:b w:val="1"/>
          <w:rtl w:val="0"/>
        </w:rPr>
        <w:t xml:space="preserve">Summary of key accomplishments:</w:t>
      </w:r>
    </w:p>
    <w:p w:rsidR="00000000" w:rsidDel="00000000" w:rsidP="00000000" w:rsidRDefault="00000000" w:rsidRPr="00000000" w14:paraId="00000004">
      <w:pPr>
        <w:ind w:left="0" w:firstLine="0"/>
        <w:rPr>
          <w:b w:val="1"/>
        </w:rPr>
      </w:pPr>
      <w:r w:rsidDel="00000000" w:rsidR="00000000" w:rsidRPr="00000000">
        <w:rPr>
          <w:rtl w:val="0"/>
        </w:rPr>
      </w:r>
    </w:p>
    <w:tbl>
      <w:tblPr>
        <w:tblStyle w:val="Table1"/>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2820"/>
        <w:gridCol w:w="3510"/>
        <w:gridCol w:w="1755"/>
        <w:tblGridChange w:id="0">
          <w:tblGrid>
            <w:gridCol w:w="1260"/>
            <w:gridCol w:w="2820"/>
            <w:gridCol w:w="3510"/>
            <w:gridCol w:w="17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Description of Effort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Time Spent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Signature</w:t>
            </w:r>
          </w:p>
        </w:tc>
      </w:tr>
      <w:tr>
        <w:tc>
          <w:tcPr>
            <w:tcW w:type="dxa" w:w="1260"/>
          </w:tcPr>
          <w:p>
            <w:r>
              <w:t>Sage Clokey</w:t>
            </w:r>
          </w:p>
        </w:tc>
        <w:tc>
          <w:tcPr>
            <w:tcW w:type="dxa" w:w="2820"/>
          </w:tcPr>
          <w:p>
            <w:r>
              <w:t>Built immune analysis pipeline (immune_distributed_knowledge.py): SHM hotspots, V(D)J bias, public clonotypes. Built genome analysis pipeline (genome_distributed_knowledge.py): mutation hotspots, tissue specialization, convergent evolution.</w:t>
            </w:r>
          </w:p>
        </w:tc>
        <w:tc>
          <w:tcPr>
            <w:tcW w:type="dxa" w:w="3510"/>
          </w:tcPr>
          <w:p>
            <w:r>
              <w:t>4 hrs</w:t>
            </w:r>
          </w:p>
        </w:tc>
        <w:tc>
          <w:tcPr>
            <w:tcW w:type="dxa" w:w="1755"/>
          </w:tcPr>
          <w:p>
            <w:r>
              <w:t>Sage Clokey</w:t>
            </w:r>
          </w:p>
        </w:tc>
      </w:tr>
      <w:tr>
        <w:tc>
          <w:tcPr>
            <w:tcW w:type="dxa" w:w="1260"/>
          </w:tcPr>
          <w:p>
            <w:r>
              <w:t>Sage Clokey</w:t>
            </w:r>
          </w:p>
        </w:tc>
        <w:tc>
          <w:tcPr>
            <w:tcW w:type="dxa" w:w="2820"/>
          </w:tcPr>
          <w:p>
            <w:r>
              <w:t>Wrote viral communication essay with 7 figures. Created viral analysis pipeline. Wrote vaccines essay.</w:t>
            </w:r>
          </w:p>
        </w:tc>
        <w:tc>
          <w:tcPr>
            <w:tcW w:type="dxa" w:w="3510"/>
          </w:tcPr>
          <w:p>
            <w:r>
              <w:t>3 hrs</w:t>
            </w:r>
          </w:p>
        </w:tc>
        <w:tc>
          <w:tcPr>
            <w:tcW w:type="dxa" w:w="1755"/>
          </w:tcPr>
          <w:p>
            <w:r>
              <w:t>Sage Clokey</w:t>
            </w:r>
          </w:p>
        </w:tc>
      </w:tr>
      <w:tr>
        <w:tc>
          <w:tcPr>
            <w:tcW w:type="dxa" w:w="1260"/>
          </w:tcPr>
          <w:p>
            <w:r>
              <w:t>Sage Clokey</w:t>
            </w:r>
          </w:p>
        </w:tc>
        <w:tc>
          <w:tcPr>
            <w:tcW w:type="dxa" w:w="2820"/>
          </w:tcPr>
          <w:p>
            <w:r>
              <w:t>Wrote The Living Architecture synthesis paper (55 pages, 715 lines). Built annotate_figures.py pipeline. Annotated all 16 core figures.</w:t>
            </w:r>
          </w:p>
        </w:tc>
        <w:tc>
          <w:tcPr>
            <w:tcW w:type="dxa" w:w="3510"/>
          </w:tcPr>
          <w:p>
            <w:r>
              <w:t>4 hrs</w:t>
            </w:r>
          </w:p>
        </w:tc>
        <w:tc>
          <w:tcPr>
            <w:tcW w:type="dxa" w:w="1755"/>
          </w:tcPr>
          <w:p>
            <w:r>
              <w:t>Sage Clokey</w:t>
            </w:r>
          </w:p>
        </w:tc>
      </w:tr>
      <w:tr>
        <w:tc>
          <w:tcPr>
            <w:tcW w:type="dxa" w:w="1260"/>
          </w:tcPr>
          <w:p>
            <w:r>
              <w:t>Sage Clokey</w:t>
            </w:r>
          </w:p>
        </w:tc>
        <w:tc>
          <w:tcPr>
            <w:tcW w:type="dxa" w:w="2820"/>
          </w:tcPr>
          <w:p>
            <w:r>
              <w:t>Built Week 5 progress report slides (8 slides with speaker notes). Built 22-slide and 3-minute presentation decks. DOCX exports.</w:t>
            </w:r>
          </w:p>
        </w:tc>
        <w:tc>
          <w:tcPr>
            <w:tcW w:type="dxa" w:w="3510"/>
          </w:tcPr>
          <w:p>
            <w:r>
              <w:t>2 hrs</w:t>
            </w:r>
          </w:p>
        </w:tc>
        <w:tc>
          <w:tcPr>
            <w:tcW w:type="dxa" w:w="1755"/>
          </w:tcPr>
          <w:p>
            <w:r>
              <w:t>Sage Clokey</w:t>
            </w:r>
          </w:p>
        </w:tc>
      </w:tr>
      <w:tr>
        <w:tc>
          <w:tcPr>
            <w:tcW w:type="dxa" w:w="1260"/>
          </w:tcPr>
          <w:p>
            <w:r>
              <w:t>TOTAL</w:t>
            </w:r>
          </w:p>
        </w:tc>
        <w:tc>
          <w:tcPr>
            <w:tcW w:type="dxa" w:w="2820"/>
          </w:tcPr>
          <w:p/>
        </w:tc>
        <w:tc>
          <w:tcPr>
            <w:tcW w:type="dxa" w:w="3510"/>
          </w:tcPr>
          <w:p>
            <w:r>
              <w:t>13 hrs</w:t>
            </w:r>
          </w:p>
        </w:tc>
        <w:tc>
          <w:tcPr>
            <w:tcW w:type="dxa" w:w="1755"/>
          </w:tcPr>
          <w:p/>
        </w:tc>
      </w:tr>
    </w:tbl>
    <w:p>
      <w:r>
        <w:rPr>
          <w:rFonts w:ascii="Calibri" w:hAnsi="Calibri"/>
          <w:sz w:val="22"/>
        </w:rPr>
        <w:t>Accomplishment 1: Extended the project from 3 layers to 7 layers of biological evidence. Added Layer 4 (Immune System): SHM hotspot analysis showing 19:1 enrichment at WRC motifs, V(D)J segment usage bias with IGHV3-23 at 10–20x rare segments, and public clonotypes shared across unrelated individuals at rates 10^15 above random chance.</w:t>
      </w:r>
    </w:p>
    <w:p/>
    <w:p>
      <w:r>
        <w:rPr>
          <w:rFonts w:ascii="Calibri" w:hAnsi="Calibri"/>
          <w:sz w:val="22"/>
        </w:rPr>
        <w:t>Accomplishment 2: Added Layer 5 (Whole Genome): CpG C&gt;T mutation hotspots at 15–40x baseline, transition/transversion ratio of 2:1 (4x random expectation), and tissue-specific gene expression showing 20% of genes with tau &gt; 0.95 (near-exclusive expression in one tissue). Added Layer 6 (Convergent Evolution): 35 documented events across kingdoms including 14 identical Prestin substitutions between bats and dolphins.</w:t>
      </w:r>
    </w:p>
    <w:p/>
    <w:p>
      <w:r>
        <w:rPr>
          <w:rFonts w:ascii="Calibri" w:hAnsi="Calibri"/>
          <w:sz w:val="22"/>
        </w:rPr>
        <w:t>Accomplishment 3: Added Layer 7 (Viral Communication): entirely new analysis framing viruses as horizontal information transfer in the cellular economy. 8% of human genome is endogenous retrovirus. Syncytin (captured viral gene) enables mammalian pregnancy. 10^31 phages conduct 10^25 gene transfers per day — the first internet. Wrote standalone essay with 7 data-backed figures.</w:t>
      </w:r>
    </w:p>
    <w:p/>
    <w:p>
      <w:r>
        <w:rPr>
          <w:rFonts w:ascii="Calibri" w:hAnsi="Calibri"/>
          <w:sz w:val="22"/>
        </w:rPr>
        <w:t>Accomplishment 4: Wrote “The Living Architecture” — 55-page synthesis paper (715 lines, 13,625 words, 16 annotated figures, 45 citations). Integrates all 7 layers from network topology through viral communication, plus design principles, vaccines as application, and theological framework. Full DOCX with embedded annotated figures (6.6 MB).</w:t>
      </w:r>
    </w:p>
    <w:p/>
    <w:p>
      <w:r>
        <w:rPr>
          <w:rFonts w:ascii="Calibri" w:hAnsi="Calibri"/>
          <w:sz w:val="22"/>
        </w:rPr>
        <w:t>Accomplishment 5: Built automated figure annotation pipeline (annotate_figures.py). Overlays callout boxes with arrows and key findings on all 16 core figures. Three visual styles: teal (findings), red (warnings), gold (highlights). Total figure count went from 21 to 39.</w:t>
      </w:r>
    </w:p>
    <w:p/>
    <w:p>
      <w:r>
        <w:rPr>
          <w:rFonts w:ascii="Calibri" w:hAnsi="Calibri"/>
          <w:sz w:val="22"/>
        </w:rPr>
        <w:t>Accomplishment 6: Wrote “Vaccines as Central Planners” standalone essay mapping 5 vaccine-induced distortions to Austrian economics: germinal center monopolization, original antigenic sin, tissue misallocation, feedback suppression, and immune repertoire narrowing.</w:t>
      </w:r>
    </w:p>
    <w:p/>
    <w:p>
      <w:r>
        <w:rPr>
          <w:rFonts w:ascii="Calibri" w:hAnsi="Calibri"/>
          <w:sz w:val="22"/>
        </w:rPr>
        <w:t>Challenges:</w:t>
      </w:r>
    </w:p>
    <w:p/>
    <w:p>
      <w:r>
        <w:rPr>
          <w:rFonts w:ascii="Calibri" w:hAnsi="Calibri"/>
          <w:sz w:val="22"/>
        </w:rPr>
        <w:t>Challenge 1: Poster layout deferred to Week 6. The scope expansion from 3 to 7 layers consumed all available time. Built 22-slide and 3-minute presentation decks as intermediate deliverables instead.</w:t>
      </w:r>
    </w:p>
    <w:p/>
    <w:p>
      <w:r>
        <w:rPr>
          <w:rFonts w:ascii="Calibri" w:hAnsi="Calibri"/>
          <w:sz w:val="22"/>
        </w:rPr>
        <w:t>Challenge 2: Live API pipeline run deferred. The immune and genome analyses use published empirical data directly (IMGT, GTEx, ClinVar), so the API integration for Layers 1–3 was less critical than extending the evidence base. Will revisit when preparing final figures.</w:t>
      </w:r>
    </w:p>
    <w:p/>
    <w:p>
      <w:r>
        <w:rPr>
          <w:rFonts w:ascii="Calibri" w:hAnsi="Calibri"/>
          <w:sz w:val="22"/>
        </w:rPr>
        <w:t>Challenge 3: Need advisor review of the Living Architecture paper. Key question: with 7 layers of evidence, which are strongest for the final presentation? Should the final talk focus on 3–4 layers deeply or touch all 7?</w:t>
      </w:r>
    </w:p>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