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Pr>
          <w:sz w:val="22"/>
        </w:rPr>
        <w:t>Student: Sage Clokey (Individual Project) — Week 6 (May 4–9, 2026)</w:t>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tl w:val="0"/>
        </w:rPr>
        <w:t xml:space="preserve">Summary of key accomplishments:</w:t>
      </w:r>
    </w:p>
    <w:p w:rsidR="00000000" w:rsidDel="00000000" w:rsidP="00000000" w:rsidRDefault="00000000" w:rsidRPr="00000000" w14:paraId="00000004">
      <w:pPr>
        <w:ind w:left="0" w:firstLine="0"/>
        <w:rPr>
          <w:b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820"/>
        <w:gridCol w:w="3510"/>
        <w:gridCol w:w="1755"/>
        <w:tblGridChange w:id="0">
          <w:tblGrid>
            <w:gridCol w:w="1260"/>
            <w:gridCol w:w="2820"/>
            <w:gridCol w:w="351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of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 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Signature</w:t>
            </w:r>
          </w:p>
        </w:tc>
      </w:tr>
      <w:tr>
        <w:tc>
          <w:tcPr>
            <w:tcW w:type="dxa" w:w="1260"/>
          </w:tcPr>
          <w:p>
            <w:r>
              <w:t>Sage Clokey</w:t>
            </w:r>
          </w:p>
        </w:tc>
        <w:tc>
          <w:tcPr>
            <w:tcW w:type="dxa" w:w="2820"/>
          </w:tcPr>
          <w:p>
            <w:r>
              <w:t>Attended SynBioBeta conference (May 4–6). Conversations with Drew Endy (decentralization in biology design), Andrew Hessel (living things are not machines), Karsten Temme (distributed design in agriculture), and others.</w:t>
            </w:r>
          </w:p>
        </w:tc>
        <w:tc>
          <w:tcPr>
            <w:tcW w:type="dxa" w:w="3510"/>
          </w:tcPr>
          <w:p>
            <w:r>
              <w:t>12 hrs</w:t>
            </w:r>
          </w:p>
        </w:tc>
        <w:tc>
          <w:tcPr>
            <w:tcW w:type="dxa" w:w="1755"/>
          </w:tcPr>
          <w:p>
            <w:r>
              <w:t>Sage Clokey</w:t>
            </w:r>
          </w:p>
        </w:tc>
      </w:tr>
      <w:tr>
        <w:tc>
          <w:tcPr>
            <w:tcW w:type="dxa" w:w="1260"/>
          </w:tcPr>
          <w:p>
            <w:r>
              <w:t>Sage Clokey</w:t>
            </w:r>
          </w:p>
        </w:tc>
        <w:tc>
          <w:tcPr>
            <w:tcW w:type="dxa" w:w="2820"/>
          </w:tcPr>
          <w:p>
            <w:r>
              <w:t>Built Price System of the Cell 4-panel figure (generate_price_system_figure.py). Created individual panel exports. Added to run_all.py pipeline.</w:t>
            </w:r>
          </w:p>
        </w:tc>
        <w:tc>
          <w:tcPr>
            <w:tcW w:type="dxa" w:w="3510"/>
          </w:tcPr>
          <w:p>
            <w:r>
              <w:t>3 hrs</w:t>
            </w:r>
          </w:p>
        </w:tc>
        <w:tc>
          <w:tcPr>
            <w:tcW w:type="dxa" w:w="1755"/>
          </w:tcPr>
          <w:p>
            <w:r>
              <w:t>Sage Clokey</w:t>
            </w:r>
          </w:p>
        </w:tc>
      </w:tr>
      <w:tr>
        <w:tc>
          <w:tcPr>
            <w:tcW w:type="dxa" w:w="1260"/>
          </w:tcPr>
          <w:p>
            <w:r>
              <w:t>Sage Clokey</w:t>
            </w:r>
          </w:p>
        </w:tc>
        <w:tc>
          <w:tcPr>
            <w:tcW w:type="dxa" w:w="2820"/>
          </w:tcPr>
          <w:p>
            <w:r>
              <w:t>Created comprehensive figure guide mapping every claim to a falsifiable visualization. Built Week 6 progress report slides (7 slides with speaker notes).</w:t>
            </w:r>
          </w:p>
        </w:tc>
        <w:tc>
          <w:tcPr>
            <w:tcW w:type="dxa" w:w="3510"/>
          </w:tcPr>
          <w:p>
            <w:r>
              <w:t>2 hrs</w:t>
            </w:r>
          </w:p>
        </w:tc>
        <w:tc>
          <w:tcPr>
            <w:tcW w:type="dxa" w:w="1755"/>
          </w:tcPr>
          <w:p>
            <w:r>
              <w:t>Sage Clokey</w:t>
            </w:r>
          </w:p>
        </w:tc>
      </w:tr>
      <w:tr>
        <w:tc>
          <w:tcPr>
            <w:tcW w:type="dxa" w:w="1260"/>
          </w:tcPr>
          <w:p>
            <w:r>
              <w:t>TOTAL</w:t>
            </w:r>
          </w:p>
        </w:tc>
        <w:tc>
          <w:tcPr>
            <w:tcW w:type="dxa" w:w="2820"/>
          </w:tcPr>
          <w:p/>
        </w:tc>
        <w:tc>
          <w:tcPr>
            <w:tcW w:type="dxa" w:w="3510"/>
          </w:tcPr>
          <w:p>
            <w:r>
              <w:t>17 hrs</w:t>
            </w:r>
          </w:p>
        </w:tc>
        <w:tc>
          <w:tcPr>
            <w:tcW w:type="dxa" w:w="1755"/>
          </w:tcPr>
          <w:p/>
        </w:tc>
      </w:tr>
    </w:tbl>
    <w:p>
      <w:r>
        <w:rPr>
          <w:rFonts w:ascii="Calibri" w:hAnsi="Calibri"/>
          <w:sz w:val="22"/>
        </w:rPr>
        <w:t>Accomplishment 1: Attended SynBioBeta conference (May 4–6) in San Francisco. Spoke with Drew Endy about how biology design will decentralize things — directly validating the capstone’s core thesis that living systems operate as decentralized economies and that engineering biology should work with that architecture, not against it.</w:t>
      </w:r>
    </w:p>
    <w:p/>
    <w:p>
      <w:r>
        <w:rPr>
          <w:rFonts w:ascii="Calibri" w:hAnsi="Calibri"/>
          <w:sz w:val="22"/>
        </w:rPr>
        <w:t>Accomplishment 2: Had an extended conversation with Andrew Hessel about how living things are not machines and that living systems differ from computers in key ways. This reinforces the paper’s central argument against the machine metaphor — the genome is not a program, the cell is not a factory, and engineering biology requires a fundamentally different paradigm.</w:t>
      </w:r>
    </w:p>
    <w:p/>
    <w:p>
      <w:r>
        <w:rPr>
          <w:rFonts w:ascii="Calibri" w:hAnsi="Calibri"/>
          <w:sz w:val="22"/>
        </w:rPr>
        <w:t>Accomplishment 3: Discussed the themes of my writing with Karsten Temme (Pivot Bio) without revealing the specific work. Temme’s company engineers nitrogen-fixing microbes for agriculture — a real-world example of working with living economies rather than replacing them. His perspective confirmed that the distributed design principles in the paper map to actual industry practice.</w:t>
      </w:r>
    </w:p>
    <w:p/>
    <w:p>
      <w:r>
        <w:rPr>
          <w:rFonts w:ascii="Calibri" w:hAnsi="Calibri"/>
          <w:sz w:val="22"/>
        </w:rPr>
        <w:t>Accomplishment 4: Connected with a researcher who publishes papers in the synthetic biology space. Discussed the intersection of computational analysis and wet-lab validation, relevant to the capstone’s experimental spread design.</w:t>
      </w:r>
    </w:p>
    <w:p/>
    <w:p>
      <w:r>
        <w:rPr>
          <w:rFonts w:ascii="Calibri" w:hAnsi="Calibri"/>
          <w:sz w:val="22"/>
        </w:rPr>
        <w:t>Accomplishment 5: Built “The Price System of the Cell” — a 4-panel synthesis figure that is the capstone’s central visual. Panel A: three tiers of molecular prices (intracellular ratios, intercellular signals, mTOR as entrepreneur). Panel B: FBA shadow prices showing Menger’s subjective value (same metabolite, different value in different conditions). Panel C: price discovery without a planner (metabolite pools oscillate then converge). Panel D: cancer breaks the price system (most mutated genes map to price components).</w:t>
      </w:r>
    </w:p>
    <w:p/>
    <w:p>
      <w:r>
        <w:rPr>
          <w:rFonts w:ascii="Calibri" w:hAnsi="Calibri"/>
          <w:sz w:val="22"/>
        </w:rPr>
        <w:t>Accomplishment 6: Created comprehensive figure guide (figure_guide.md) mapping every claim in the capstone to a specific falsifiable visualization — what the figure should show if the thesis is correct and what the alternative would look like. Added price system layer to run_all.py pipeline.</w:t>
      </w:r>
    </w:p>
    <w:p/>
    <w:p>
      <w:r>
        <w:rPr>
          <w:rFonts w:ascii="Calibri" w:hAnsi="Calibri"/>
          <w:sz w:val="22"/>
        </w:rPr>
        <w:t>Challenges:</w:t>
      </w:r>
    </w:p>
    <w:p/>
    <w:p>
      <w:r>
        <w:rPr>
          <w:rFonts w:ascii="Calibri" w:hAnsi="Calibri"/>
          <w:sz w:val="22"/>
        </w:rPr>
        <w:t>Challenge 1: Poster layout still pending. SynBioBeta consumed the first half of the week and the Price System figure work filled the second half. Poster is the top priority for Week 7.</w:t>
      </w:r>
    </w:p>
    <w:p/>
    <w:p>
      <w:r>
        <w:rPr>
          <w:rFonts w:ascii="Calibri" w:hAnsi="Calibri"/>
          <w:sz w:val="22"/>
        </w:rPr>
        <w:t>Challenge 2: Need to translate the SynBioBeta conversations into concrete next steps. Drew Endy’s perspective on decentralization and Andrew Hessel’s critique of the machine metaphor both support the thesis, but should be cited carefully — these were informal conversations, not published positions.</w:t>
      </w:r>
    </w:p>
    <w:p/>
    <w:p>
      <w:r>
        <w:rPr>
          <w:rFonts w:ascii="Calibri" w:hAnsi="Calibri"/>
          <w:sz w:val="22"/>
        </w:rPr>
        <w:t>Challenge 3: Paper finalization and sensitivity analysis on simulation parameters still outstanding. The figure guide now maps every claim to a visualization, which clarifies exactly what needs to be tightened before final submission.</w:t>
      </w:r>
    </w:p>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