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Pr>
          <w:sz w:val="22"/>
        </w:rPr>
        <w:t>Student: Sage Clokey (Individual Project) — Week 7 (May 11–16, 2026)</w:t>
      </w:r>
    </w:p>
    <w:p w:rsidR="00000000" w:rsidDel="00000000" w:rsidP="00000000" w:rsidRDefault="00000000" w:rsidRPr="00000000" w14:paraId="00000002">
      <w:pPr>
        <w:ind w:left="0" w:firstLine="0"/>
        <w:rPr>
          <w:b w:val="1"/>
        </w:rPr>
      </w:pPr>
      <w:r w:rsidDel="00000000" w:rsidR="00000000" w:rsidRPr="00000000">
        <w:rPr>
          <w:rtl w:val="0"/>
        </w:rPr>
      </w:r>
    </w:p>
    <w:p w:rsidR="00000000" w:rsidDel="00000000" w:rsidP="00000000" w:rsidRDefault="00000000" w:rsidRPr="00000000" w14:paraId="00000003">
      <w:pPr>
        <w:ind w:left="0" w:firstLine="0"/>
        <w:rPr>
          <w:b w:val="1"/>
        </w:rPr>
      </w:pPr>
      <w:r w:rsidDel="00000000" w:rsidR="00000000" w:rsidRPr="00000000">
        <w:rPr>
          <w:b w:val="1"/>
          <w:rtl w:val="0"/>
        </w:rPr>
        <w:t xml:space="preserve">Summary of key accomplishments:</w:t>
      </w:r>
    </w:p>
    <w:p w:rsidR="00000000" w:rsidDel="00000000" w:rsidP="00000000" w:rsidRDefault="00000000" w:rsidRPr="00000000" w14:paraId="00000004">
      <w:pPr>
        <w:ind w:left="0" w:firstLine="0"/>
        <w:rPr>
          <w:b w:val="1"/>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820"/>
        <w:gridCol w:w="3510"/>
        <w:gridCol w:w="1755"/>
        <w:tblGridChange w:id="0">
          <w:tblGrid>
            <w:gridCol w:w="1260"/>
            <w:gridCol w:w="2820"/>
            <w:gridCol w:w="3510"/>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 of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Time Spent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Signature</w:t>
            </w:r>
          </w:p>
        </w:tc>
      </w:tr>
      <w:tr>
        <w:tc>
          <w:tcPr>
            <w:tcW w:type="dxa" w:w="1260"/>
          </w:tcPr>
          <w:p>
            <w:r>
              <w:t>Sage Clokey</w:t>
            </w:r>
          </w:p>
        </w:tc>
        <w:tc>
          <w:tcPr>
            <w:tcW w:type="dxa" w:w="2820"/>
          </w:tcPr>
          <w:p>
            <w:r>
              <w:t>Built research poster (48×36, dark theme, all 7 layers). Programmatic layout via build_poster.py with embedded figures and key statistics.</w:t>
            </w:r>
          </w:p>
        </w:tc>
        <w:tc>
          <w:tcPr>
            <w:tcW w:type="dxa" w:w="3510"/>
          </w:tcPr>
          <w:p>
            <w:r>
              <w:t>5 hrs</w:t>
            </w:r>
          </w:p>
        </w:tc>
        <w:tc>
          <w:tcPr>
            <w:tcW w:type="dxa" w:w="1755"/>
          </w:tcPr>
          <w:p>
            <w:r>
              <w:t>Sage Clokey</w:t>
            </w:r>
          </w:p>
        </w:tc>
      </w:tr>
      <w:tr>
        <w:tc>
          <w:tcPr>
            <w:tcW w:type="dxa" w:w="1260"/>
          </w:tcPr>
          <w:p>
            <w:r>
              <w:t>Sage Clokey</w:t>
            </w:r>
          </w:p>
        </w:tc>
        <w:tc>
          <w:tcPr>
            <w:tcW w:type="dxa" w:w="2820"/>
          </w:tcPr>
          <w:p>
            <w:r>
              <w:t>Built Introduction, Results, and Methods section DOCXs per BME 129C formatting guidelines (Arial 11, single-spaced, figures in text boxes with legends).</w:t>
            </w:r>
          </w:p>
        </w:tc>
        <w:tc>
          <w:tcPr>
            <w:tcW w:type="dxa" w:w="3510"/>
          </w:tcPr>
          <w:p>
            <w:r>
              <w:t>5 hrs</w:t>
            </w:r>
          </w:p>
        </w:tc>
        <w:tc>
          <w:tcPr>
            <w:tcW w:type="dxa" w:w="1755"/>
          </w:tcPr>
          <w:p>
            <w:r>
              <w:t>Sage Clokey</w:t>
            </w:r>
          </w:p>
        </w:tc>
      </w:tr>
      <w:tr>
        <w:tc>
          <w:tcPr>
            <w:tcW w:type="dxa" w:w="1260"/>
          </w:tcPr>
          <w:p>
            <w:r>
              <w:t>Sage Clokey</w:t>
            </w:r>
          </w:p>
        </w:tc>
        <w:tc>
          <w:tcPr>
            <w:tcW w:type="dxa" w:w="2820"/>
          </w:tcPr>
          <w:p>
            <w:r>
              <w:t>Generated 7 viral network figures. Wrote Disease of Centralization chapter. Updated run_all.py pipeline.</w:t>
            </w:r>
          </w:p>
        </w:tc>
        <w:tc>
          <w:tcPr>
            <w:tcW w:type="dxa" w:w="3510"/>
          </w:tcPr>
          <w:p>
            <w:r>
              <w:t>3 hrs</w:t>
            </w:r>
          </w:p>
        </w:tc>
        <w:tc>
          <w:tcPr>
            <w:tcW w:type="dxa" w:w="1755"/>
          </w:tcPr>
          <w:p>
            <w:r>
              <w:t>Sage Clokey</w:t>
            </w:r>
          </w:p>
        </w:tc>
      </w:tr>
      <w:tr>
        <w:tc>
          <w:tcPr>
            <w:tcW w:type="dxa" w:w="1260"/>
          </w:tcPr>
          <w:p>
            <w:r>
              <w:t>Sage Clokey</w:t>
            </w:r>
          </w:p>
        </w:tc>
        <w:tc>
          <w:tcPr>
            <w:tcW w:type="dxa" w:w="2820"/>
          </w:tcPr>
          <w:p>
            <w:r>
              <w:t>Week 7 progress report. Reviewed poster layout and formatted sections for consistency.</w:t>
            </w:r>
          </w:p>
        </w:tc>
        <w:tc>
          <w:tcPr>
            <w:tcW w:type="dxa" w:w="3510"/>
          </w:tcPr>
          <w:p>
            <w:r>
              <w:t>1 hr</w:t>
            </w:r>
          </w:p>
        </w:tc>
        <w:tc>
          <w:tcPr>
            <w:tcW w:type="dxa" w:w="1755"/>
          </w:tcPr>
          <w:p>
            <w:r>
              <w:t>Sage Clokey</w:t>
            </w:r>
          </w:p>
        </w:tc>
      </w:tr>
      <w:tr>
        <w:tc>
          <w:tcPr>
            <w:tcW w:type="dxa" w:w="1260"/>
          </w:tcPr>
          <w:p>
            <w:r>
              <w:t>TOTAL</w:t>
            </w:r>
          </w:p>
        </w:tc>
        <w:tc>
          <w:tcPr>
            <w:tcW w:type="dxa" w:w="2820"/>
          </w:tcPr>
          <w:p/>
        </w:tc>
        <w:tc>
          <w:tcPr>
            <w:tcW w:type="dxa" w:w="3510"/>
          </w:tcPr>
          <w:p>
            <w:r>
              <w:t>14 hrs</w:t>
            </w:r>
          </w:p>
        </w:tc>
        <w:tc>
          <w:tcPr>
            <w:tcW w:type="dxa" w:w="1755"/>
          </w:tcPr>
          <w:p/>
        </w:tc>
      </w:tr>
    </w:tbl>
    <w:p>
      <w:r>
        <w:rPr>
          <w:rFonts w:ascii="Calibri" w:hAnsi="Calibri"/>
          <w:sz w:val="22"/>
        </w:rPr>
        <w:t>Accomplishment 1: Completed the research poster (48×36 inches, dark theme, programmatic layout). Two-row design presents all seven layers: Row 1 covers Layer 1 (network topology — 19:1 robustness advantage), Layer 1b (single-cell economy — PBMC division of labor), and Layer 2 (metabolic simulation — 71% vs 53% GDP retention). Row 2 covers Layer 2b (FBA shadow prices as subjective value), Layer 3 (cross-species trade costs), and Layers 4–7 (immune repertoire, genome architecture, convergent evolution, viral communication). Built via build_poster.py with embedded figures. Exported as capstone_poster.pptx.</w:t>
      </w:r>
    </w:p>
    <w:p/>
    <w:p>
      <w:r>
        <w:rPr>
          <w:rFonts w:ascii="Calibri" w:hAnsi="Calibri"/>
          <w:sz w:val="22"/>
        </w:rPr>
        <w:t>Accomplishment 2: Built the Introduction section DOCX per BME 129C formatting guidelines (Arial 11, single-spaced, figure in text box with legend at font 10). Four sections: background and motivation, knowledge gap (the machine metaphor fails), specific aims (test whether living systems are literal decentralized economies), and significance for synthetic biology. Embeds the Price System of the Cell as Figure 1 with full legend.</w:t>
      </w:r>
    </w:p>
    <w:p/>
    <w:p>
      <w:r>
        <w:rPr>
          <w:rFonts w:ascii="Calibri" w:hAnsi="Calibri"/>
          <w:sz w:val="22"/>
        </w:rPr>
        <w:t>Accomplishment 3: Built the Results section DOCX per BME 129C formatting guidelines. Structured as subsections per layer, each following the rationale → brief methods → result → conclusion format. Embedded figures with legends at font 10: robustness curves, GDP retention time series, FBA shadow price heatmaps, trade cost matrices, cancer mutation frequency plots. Covers all seven layers with key statistics.</w:t>
      </w:r>
    </w:p>
    <w:p/>
    <w:p>
      <w:r>
        <w:rPr>
          <w:rFonts w:ascii="Calibri" w:hAnsi="Calibri"/>
          <w:sz w:val="22"/>
        </w:rPr>
        <w:t>Accomplishment 4: Built the Methods section DOCX documenting the full computational pipeline: RegulonDB network fetch and topology analysis, CellxGene single-cell PBMC processing, agent-based metabolic simulation (distributed vs centralized), flux balance analysis with iML1515 (2,712 reactions, 1,877 metabolites), codon-based trade cost calculation via Kazusa, immune repertoire analysis (IMGT, SHM hotspots, V(D)J bias), and genome-wide mutation/tissue specificity (GTEx, ClinVar).</w:t>
      </w:r>
    </w:p>
    <w:p/>
    <w:p>
      <w:r>
        <w:rPr>
          <w:rFonts w:ascii="Calibri" w:hAnsi="Calibri"/>
          <w:sz w:val="22"/>
        </w:rPr>
        <w:t>Accomplishment 5: Generated seven viral network figures (generate_viral_network_figures.py) backing the viruses-as-communication essay: ERV genome composition (8% vs 1.5% protein-coding), syncytin conservation under purifying selection, global phage network (10^31 particles), gut virome composition (&gt;90% phages), ERV regulatory elements as gene switches, autoimmune/allergic rise inverse-correlated with infection exposure, and viral communication summary across scales.</w:t>
      </w:r>
    </w:p>
    <w:p/>
    <w:p>
      <w:r>
        <w:rPr>
          <w:rFonts w:ascii="Calibri" w:hAnsi="Calibri"/>
          <w:sz w:val="22"/>
        </w:rPr>
        <w:t>Accomplishment 6: Wrote “The Disease of Centralization” chapter — a standalone essay arguing that disease is not a property of the variant but what happens when the environment refuses to meet the variant where it lives. Frames cancer, autoimmune disease, and metabolic syndrome as consequences of centralizing systems that evolved to be distributed.</w:t>
      </w:r>
    </w:p>
    <w:p/>
    <w:p>
      <w:r>
        <w:rPr>
          <w:rFonts w:ascii="Calibri" w:hAnsi="Calibri"/>
          <w:sz w:val="22"/>
        </w:rPr>
        <w:t>Challenges:</w:t>
      </w:r>
    </w:p>
    <w:p/>
    <w:p>
      <w:r>
        <w:rPr>
          <w:rFonts w:ascii="Calibri" w:hAnsi="Calibri"/>
          <w:sz w:val="22"/>
        </w:rPr>
        <w:t>Challenge 1: Paper scope management. With all seven layers, the poster, three formatted sections, and multiple standalone essays, the project has grown substantially beyond the original 3-layer proposal. Need to consolidate the written deliverables into a single coherent submission document for the final paper deadline.</w:t>
      </w:r>
    </w:p>
    <w:p/>
    <w:p>
      <w:r>
        <w:rPr>
          <w:rFonts w:ascii="Calibri" w:hAnsi="Calibri"/>
          <w:sz w:val="22"/>
        </w:rPr>
        <w:t>Challenge 2: Sensitivity analysis on simulation parameters deferred again. The poster and formatted sections consumed the full week. The 71% vs 53% GDP result is consistent across runs but a systematic parameter sweep (agent count, perturbation magnitude, feedback gain) would strengthen the claim. Targeting Week 8.</w:t>
      </w:r>
    </w:p>
    <w:p/>
    <w:p>
      <w:r>
        <w:rPr>
          <w:rFonts w:ascii="Calibri" w:hAnsi="Calibri"/>
          <w:sz w:val="22"/>
        </w:rPr>
        <w:t>Challenge 3: Final presentation structure still open. Seven layers is too many for a short talk. Need to select 3–4 layers that tell the tightest story and use the Price System figure as the anchor. Candidates: Layer 1 (topology), Layer 2 (metabolic GDP), Layer 2b (FBA shadow prices), and Panel D (cancer breaks the price system).</w:t>
      </w:r>
    </w:p>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