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Methods</w:t>
      </w:r>
    </w:p>
    <w:p>
      <w:pPr>
        <w:jc w:val="center"/>
      </w:pPr>
      <w:r>
        <w:rPr>
          <w:rFonts w:ascii="Arial" w:hAnsi="Arial"/>
          <w:i/>
          <w:sz w:val="22"/>
        </w:rPr>
        <w:t>Sage Clokey — BME 129C Capstone, Spring 2026, UC Santa Cruz</w:t>
      </w:r>
    </w:p>
    <w:p/>
    <w:p>
      <w:pPr>
        <w:spacing w:before="120" w:after="60"/>
      </w:pPr>
      <w:r>
        <w:rPr>
          <w:rFonts w:ascii="Arial" w:hAnsi="Arial"/>
          <w:b/>
          <w:sz w:val="24"/>
        </w:rPr>
        <w:t>2.1 Databases and Data Sources</w:t>
      </w:r>
    </w:p>
    <w:p>
      <w:pPr>
        <w:spacing w:after="60"/>
      </w:pPr>
      <w:r>
        <w:rPr>
          <w:rFonts w:ascii="Arial" w:hAnsi="Arial"/>
          <w:sz w:val="22"/>
        </w:rPr>
        <w:t>All biological network data was obtained from publicly available databases. The E. coli K-12 gene regulatory network was constructed from curated literature sources representing the RegulonDB v11 reference dataset (Santos-Zavaleta et al., 2019). The curated network includes 25 major transcription factors and their experimentally validated targets, totaling 282 nodes and 308 edges. Metabolic pathway networks for E. coli (organism code: eco) and S. cerevisiae (sce) were retrieved from the KEGG REST API (Kanehisa &amp; Goto, 2000). For E. coli, eight core metabolic pathways were included: glycolysis/gluconeogenesis (eco00010), citrate cycle (eco00020), oxidative phosphorylation (eco00190), purine metabolism (eco00230), pyrimidine metabolism (eco00240), fatty acid biosynthesis (eco00061), glycine/serine/threonine metabolism (eco00260), and pyruvate metabolism (eco00620). High-confidence protein-protein interaction networks for E. coli (taxonomy ID 511145) and S. cerevisiae (taxonomy ID 4932) were retrieved from the STRING database v12 (Szklarczyk et al., 2023) using 40 seed genes per organism, retaining only interactions with combined confidence score ≥ 0.7. The human PBMC single-cell RNA sequencing dataset (pbmc3k, 2,638 cells, 13,714 genes) was obtained from 10x Genomics via the Scanpy built-in data loader (Wolf et al., 2018). Codon usage tables were obtained from the Kazusa Codon Usage Database (Nakamura et al., 2000).</w:t>
      </w:r>
    </w:p>
    <w:p>
      <w:pPr>
        <w:spacing w:after="60"/>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Database</w:t>
            </w:r>
          </w:p>
        </w:tc>
        <w:tc>
          <w:tcPr>
            <w:tcW w:type="dxa" w:w="2160"/>
          </w:tcPr>
          <w:p>
            <w:r>
              <w:rPr>
                <w:rFonts w:ascii="Arial" w:hAnsi="Arial"/>
                <w:b/>
                <w:sz w:val="20"/>
              </w:rPr>
              <w:t>Data Type</w:t>
            </w:r>
          </w:p>
        </w:tc>
        <w:tc>
          <w:tcPr>
            <w:tcW w:type="dxa" w:w="2160"/>
          </w:tcPr>
          <w:p>
            <w:r>
              <w:rPr>
                <w:rFonts w:ascii="Arial" w:hAnsi="Arial"/>
                <w:b/>
                <w:sz w:val="20"/>
              </w:rPr>
              <w:t>Accession / Identifier</w:t>
            </w:r>
          </w:p>
        </w:tc>
        <w:tc>
          <w:tcPr>
            <w:tcW w:type="dxa" w:w="2160"/>
          </w:tcPr>
          <w:p>
            <w:r>
              <w:rPr>
                <w:rFonts w:ascii="Arial" w:hAnsi="Arial"/>
                <w:b/>
                <w:sz w:val="20"/>
              </w:rPr>
              <w:t>Version</w:t>
            </w:r>
          </w:p>
        </w:tc>
      </w:tr>
      <w:tr>
        <w:tc>
          <w:tcPr>
            <w:tcW w:type="dxa" w:w="2160"/>
          </w:tcPr>
          <w:p>
            <w:r>
              <w:rPr>
                <w:rFonts w:ascii="Arial" w:hAnsi="Arial"/>
                <w:sz w:val="18"/>
              </w:rPr>
              <w:t>RegulonDB</w:t>
            </w:r>
          </w:p>
        </w:tc>
        <w:tc>
          <w:tcPr>
            <w:tcW w:type="dxa" w:w="2160"/>
          </w:tcPr>
          <w:p>
            <w:r>
              <w:rPr>
                <w:rFonts w:ascii="Arial" w:hAnsi="Arial"/>
                <w:sz w:val="18"/>
              </w:rPr>
              <w:t>E. coli TF-gene regulatory interactions</w:t>
            </w:r>
          </w:p>
        </w:tc>
        <w:tc>
          <w:tcPr>
            <w:tcW w:type="dxa" w:w="2160"/>
          </w:tcPr>
          <w:p>
            <w:r>
              <w:rPr>
                <w:rFonts w:ascii="Arial" w:hAnsi="Arial"/>
                <w:sz w:val="18"/>
              </w:rPr>
              <w:t>25 TFs, 282 nodes, 308 edges</w:t>
            </w:r>
          </w:p>
        </w:tc>
        <w:tc>
          <w:tcPr>
            <w:tcW w:type="dxa" w:w="2160"/>
          </w:tcPr>
          <w:p>
            <w:r>
              <w:rPr>
                <w:rFonts w:ascii="Arial" w:hAnsi="Arial"/>
                <w:sz w:val="18"/>
              </w:rPr>
              <w:t>v11</w:t>
            </w:r>
          </w:p>
        </w:tc>
      </w:tr>
      <w:tr>
        <w:tc>
          <w:tcPr>
            <w:tcW w:type="dxa" w:w="2160"/>
          </w:tcPr>
          <w:p>
            <w:r>
              <w:rPr>
                <w:rFonts w:ascii="Arial" w:hAnsi="Arial"/>
                <w:sz w:val="18"/>
              </w:rPr>
              <w:t>KEGG REST API</w:t>
            </w:r>
          </w:p>
        </w:tc>
        <w:tc>
          <w:tcPr>
            <w:tcW w:type="dxa" w:w="2160"/>
          </w:tcPr>
          <w:p>
            <w:r>
              <w:rPr>
                <w:rFonts w:ascii="Arial" w:hAnsi="Arial"/>
                <w:sz w:val="18"/>
              </w:rPr>
              <w:t>Metabolic pathway networks</w:t>
            </w:r>
          </w:p>
        </w:tc>
        <w:tc>
          <w:tcPr>
            <w:tcW w:type="dxa" w:w="2160"/>
          </w:tcPr>
          <w:p>
            <w:r>
              <w:rPr>
                <w:rFonts w:ascii="Arial" w:hAnsi="Arial"/>
                <w:sz w:val="18"/>
              </w:rPr>
              <w:t>eco00010, eco00020, eco00190, eco00230, eco00240, eco00061, eco00260, eco00620</w:t>
            </w:r>
          </w:p>
        </w:tc>
        <w:tc>
          <w:tcPr>
            <w:tcW w:type="dxa" w:w="2160"/>
          </w:tcPr>
          <w:p>
            <w:r>
              <w:rPr>
                <w:rFonts w:ascii="Arial" w:hAnsi="Arial"/>
                <w:sz w:val="18"/>
              </w:rPr>
              <w:t>2024 release</w:t>
            </w:r>
          </w:p>
        </w:tc>
      </w:tr>
      <w:tr>
        <w:tc>
          <w:tcPr>
            <w:tcW w:type="dxa" w:w="2160"/>
          </w:tcPr>
          <w:p>
            <w:r>
              <w:rPr>
                <w:rFonts w:ascii="Arial" w:hAnsi="Arial"/>
                <w:sz w:val="18"/>
              </w:rPr>
              <w:t>STRING</w:t>
            </w:r>
          </w:p>
        </w:tc>
        <w:tc>
          <w:tcPr>
            <w:tcW w:type="dxa" w:w="2160"/>
          </w:tcPr>
          <w:p>
            <w:r>
              <w:rPr>
                <w:rFonts w:ascii="Arial" w:hAnsi="Arial"/>
                <w:sz w:val="18"/>
              </w:rPr>
              <w:t>Protein-protein interactions</w:t>
            </w:r>
          </w:p>
        </w:tc>
        <w:tc>
          <w:tcPr>
            <w:tcW w:type="dxa" w:w="2160"/>
          </w:tcPr>
          <w:p>
            <w:r>
              <w:rPr>
                <w:rFonts w:ascii="Arial" w:hAnsi="Arial"/>
                <w:sz w:val="18"/>
              </w:rPr>
              <w:t>Taxonomy 511145 (E. coli), 4932 (yeast)</w:t>
            </w:r>
          </w:p>
        </w:tc>
        <w:tc>
          <w:tcPr>
            <w:tcW w:type="dxa" w:w="2160"/>
          </w:tcPr>
          <w:p>
            <w:r>
              <w:rPr>
                <w:rFonts w:ascii="Arial" w:hAnsi="Arial"/>
                <w:sz w:val="18"/>
              </w:rPr>
              <w:t>v12</w:t>
            </w:r>
          </w:p>
        </w:tc>
      </w:tr>
      <w:tr>
        <w:tc>
          <w:tcPr>
            <w:tcW w:type="dxa" w:w="2160"/>
          </w:tcPr>
          <w:p>
            <w:r>
              <w:rPr>
                <w:rFonts w:ascii="Arial" w:hAnsi="Arial"/>
                <w:sz w:val="18"/>
              </w:rPr>
              <w:t>10x Genomics / Scanpy</w:t>
            </w:r>
          </w:p>
        </w:tc>
        <w:tc>
          <w:tcPr>
            <w:tcW w:type="dxa" w:w="2160"/>
          </w:tcPr>
          <w:p>
            <w:r>
              <w:rPr>
                <w:rFonts w:ascii="Arial" w:hAnsi="Arial"/>
                <w:sz w:val="18"/>
              </w:rPr>
              <w:t>Single-cell RNA-seq (human PBMCs)</w:t>
            </w:r>
          </w:p>
        </w:tc>
        <w:tc>
          <w:tcPr>
            <w:tcW w:type="dxa" w:w="2160"/>
          </w:tcPr>
          <w:p>
            <w:r>
              <w:rPr>
                <w:rFonts w:ascii="Arial" w:hAnsi="Arial"/>
                <w:sz w:val="18"/>
              </w:rPr>
              <w:t>pbmc3k (2,638 cells, 8 cell types)</w:t>
            </w:r>
          </w:p>
        </w:tc>
        <w:tc>
          <w:tcPr>
            <w:tcW w:type="dxa" w:w="2160"/>
          </w:tcPr>
          <w:p>
            <w:r>
              <w:rPr>
                <w:rFonts w:ascii="Arial" w:hAnsi="Arial"/>
                <w:sz w:val="18"/>
              </w:rPr>
              <w:t>—</w:t>
            </w:r>
          </w:p>
        </w:tc>
      </w:tr>
      <w:tr>
        <w:tc>
          <w:tcPr>
            <w:tcW w:type="dxa" w:w="2160"/>
          </w:tcPr>
          <w:p>
            <w:r>
              <w:rPr>
                <w:rFonts w:ascii="Arial" w:hAnsi="Arial"/>
                <w:sz w:val="18"/>
              </w:rPr>
              <w:t>Kazusa Codon Usage DB</w:t>
            </w:r>
          </w:p>
        </w:tc>
        <w:tc>
          <w:tcPr>
            <w:tcW w:type="dxa" w:w="2160"/>
          </w:tcPr>
          <w:p>
            <w:r>
              <w:rPr>
                <w:rFonts w:ascii="Arial" w:hAnsi="Arial"/>
                <w:sz w:val="18"/>
              </w:rPr>
              <w:t>RSCU tables for 8 organisms</w:t>
            </w:r>
          </w:p>
        </w:tc>
        <w:tc>
          <w:tcPr>
            <w:tcW w:type="dxa" w:w="2160"/>
          </w:tcPr>
          <w:p>
            <w:r>
              <w:rPr>
                <w:rFonts w:ascii="Arial" w:hAnsi="Arial"/>
                <w:sz w:val="18"/>
              </w:rPr>
              <w:t>K. xylinus, E. coli, S. cerevisiae, G. lucidum, A. thaliana, H. sapiens, A. millepora, A. mexicanum</w:t>
            </w:r>
          </w:p>
        </w:tc>
        <w:tc>
          <w:tcPr>
            <w:tcW w:type="dxa" w:w="2160"/>
          </w:tcPr>
          <w:p>
            <w:r>
              <w:rPr>
                <w:rFonts w:ascii="Arial" w:hAnsi="Arial"/>
                <w:sz w:val="18"/>
              </w:rPr>
              <w:t>2007</w:t>
            </w:r>
          </w:p>
        </w:tc>
      </w:tr>
      <w:tr>
        <w:tc>
          <w:tcPr>
            <w:tcW w:type="dxa" w:w="2160"/>
          </w:tcPr>
          <w:p>
            <w:r>
              <w:rPr>
                <w:rFonts w:ascii="Arial" w:hAnsi="Arial"/>
                <w:sz w:val="18"/>
              </w:rPr>
              <w:t>CellChat / Ramilowski</w:t>
            </w:r>
          </w:p>
        </w:tc>
        <w:tc>
          <w:tcPr>
            <w:tcW w:type="dxa" w:w="2160"/>
          </w:tcPr>
          <w:p>
            <w:r>
              <w:rPr>
                <w:rFonts w:ascii="Arial" w:hAnsi="Arial"/>
                <w:sz w:val="18"/>
              </w:rPr>
              <w:t>Ligand-receptor pairs</w:t>
            </w:r>
          </w:p>
        </w:tc>
        <w:tc>
          <w:tcPr>
            <w:tcW w:type="dxa" w:w="2160"/>
          </w:tcPr>
          <w:p>
            <w:r>
              <w:rPr>
                <w:rFonts w:ascii="Arial" w:hAnsi="Arial"/>
                <w:sz w:val="18"/>
              </w:rPr>
              <w:t>30 curated immune signaling pairs</w:t>
            </w:r>
          </w:p>
        </w:tc>
        <w:tc>
          <w:tcPr>
            <w:tcW w:type="dxa" w:w="2160"/>
          </w:tcPr>
          <w:p>
            <w:r>
              <w:rPr>
                <w:rFonts w:ascii="Arial" w:hAnsi="Arial"/>
                <w:sz w:val="18"/>
              </w:rPr>
              <w:t>v1</w:t>
            </w:r>
          </w:p>
        </w:tc>
      </w:tr>
      <w:tr>
        <w:tc>
          <w:tcPr>
            <w:tcW w:type="dxa" w:w="2160"/>
          </w:tcPr>
          <w:p>
            <w:r>
              <w:rPr>
                <w:rFonts w:ascii="Arial" w:hAnsi="Arial"/>
                <w:sz w:val="18"/>
              </w:rPr>
              <w:t>Adaptive Genome Design System</w:t>
            </w:r>
          </w:p>
        </w:tc>
        <w:tc>
          <w:tcPr>
            <w:tcW w:type="dxa" w:w="2160"/>
          </w:tcPr>
          <w:p>
            <w:r>
              <w:rPr>
                <w:rFonts w:ascii="Arial" w:hAnsi="Arial"/>
                <w:sz w:val="18"/>
              </w:rPr>
              <w:t>Pathway profiles, codon tables, capability maps</w:t>
            </w:r>
          </w:p>
        </w:tc>
        <w:tc>
          <w:tcPr>
            <w:tcW w:type="dxa" w:w="2160"/>
          </w:tcPr>
          <w:p>
            <w:r>
              <w:rPr>
                <w:rFonts w:ascii="Arial" w:hAnsi="Arial"/>
                <w:sz w:val="18"/>
              </w:rPr>
              <w:t>github.com/Sage-Clokey/adaptive-Automation</w:t>
            </w:r>
          </w:p>
        </w:tc>
        <w:tc>
          <w:tcPr>
            <w:tcW w:type="dxa" w:w="2160"/>
          </w:tcPr>
          <w:p>
            <w:r>
              <w:rPr>
                <w:rFonts w:ascii="Arial" w:hAnsi="Arial"/>
                <w:sz w:val="18"/>
              </w:rPr>
              <w:t>2025</w:t>
            </w:r>
          </w:p>
        </w:tc>
      </w:tr>
    </w:tbl>
    <w:p>
      <w:pPr>
        <w:spacing w:after="60"/>
      </w:pPr>
    </w:p>
    <w:p>
      <w:pPr>
        <w:spacing w:before="120" w:after="60"/>
      </w:pPr>
      <w:r>
        <w:rPr>
          <w:rFonts w:ascii="Arial" w:hAnsi="Arial"/>
          <w:b/>
          <w:sz w:val="24"/>
        </w:rPr>
        <w:t>2.2 Network Topology Analysis (Layer 1)</w:t>
      </w:r>
    </w:p>
    <w:p>
      <w:pPr>
        <w:spacing w:after="60"/>
      </w:pPr>
      <w:r>
        <w:rPr>
          <w:rFonts w:ascii="Arial" w:hAnsi="Arial"/>
          <w:sz w:val="22"/>
        </w:rPr>
        <w:t>Gene regulatory, metabolic, and protein-protein interaction networks were encoded as directed graphs using NetworkX 3.0 (Hagberg et al., 2008). Five synthetic reference networks — star graph (pure centralization), Erdős-Rényi random graph, regular lattice, hub-and-spoke (10 hubs), and Barabási-Albert scale-free model — were constructed at matched node count (N = 620) to represent alternative architectures. Degree distributions were fit to discrete power-law distributions using the method of Clauset, Shalizi, and Newman (2009). Scale-free status was assessed by log-likelihood ratio test against an exponential alternative (significance at p &lt; 0.05). Betweenness centrality was computed using Brandes' algorithm, and the Gini coefficient of the betweenness distribution was used to quantify centralization. Robustness was assessed by iterative node removal under random and targeted (highest-degree-first) attack strategies, measuring the fraction of the largest connected component retained at each step.</w:t>
      </w:r>
    </w:p>
    <w:p>
      <w:pPr>
        <w:spacing w:before="120" w:after="60"/>
      </w:pPr>
      <w:r>
        <w:rPr>
          <w:rFonts w:ascii="Arial" w:hAnsi="Arial"/>
          <w:b/>
          <w:sz w:val="24"/>
        </w:rPr>
        <w:t>2.3 Single-Cell Economy Analysis (Layer 1b)</w:t>
      </w:r>
    </w:p>
    <w:p>
      <w:pPr>
        <w:spacing w:after="60"/>
      </w:pPr>
      <w:r>
        <w:rPr>
          <w:rFonts w:ascii="Arial" w:hAnsi="Arial"/>
          <w:sz w:val="22"/>
        </w:rPr>
        <w:t>The pbmc3k dataset was preprocessed with standard quality control (minimum 200 genes per cell, minimum 3 cells per gene), total-count normalization to 10,000 reads per cell, and log transformation using Scanpy 1.10. Cell type labels and UMAP coordinates were transferred from the processed annotations (8 cell types: B cells, CD4 T, CD8 T, CD14+ monocytes, FCGR3A+ monocytes, dendritic cells, megakaryocytes, NK cells). Specialization was quantified by computing Shannon entropy of each cell type's mean expression vector, normalized by maximum possible entropy. Cell-cell communication was inferred from 30 curated ligand-receptor pairs relevant to immune signaling (Ramilowski et al., 2015; Jin et al., 2021), scored as active if both ligand and receptor exceeded a mean expression threshold of 0.1 in log-normalized space. Robustness was assessed by simulating removal of each cell type and measuring the fraction of communication edges surviving.</w:t>
      </w:r>
    </w:p>
    <w:p>
      <w:pPr>
        <w:spacing w:before="120" w:after="60"/>
      </w:pPr>
      <w:r>
        <w:rPr>
          <w:rFonts w:ascii="Arial" w:hAnsi="Arial"/>
          <w:b/>
          <w:sz w:val="24"/>
        </w:rPr>
        <w:t>2.4 Economic Simulation (Layer 2)</w:t>
      </w:r>
    </w:p>
    <w:p>
      <w:pPr>
        <w:spacing w:after="60"/>
      </w:pPr>
      <w:r>
        <w:rPr>
          <w:rFonts w:ascii="Arial" w:hAnsi="Arial"/>
          <w:sz w:val="22"/>
        </w:rPr>
        <w:t>Thirteen metabolic pathway profiles from the Adaptive Genome Design System were modeled as economic agents competing in a shared metabolite pool. Two allocation regimes were compared over 200 time steps. In the distributed regime, each agent adjusts its production rate based on three local signals: product feedback (oversupply decreases rate), substrate feedback (scarcity decreases rate), and ATP feedback (energy depletion decreases rate). No agent has information about any other agent's state; all coordination emerges through the shared metabolite pool. In the centralized regime, a global allocator assigns production rates to all agents based on ATP efficiency ranking. Both regimes used identical initial conditions (ATP regeneration rate 2.0 per agent per step, 11 environmental metabolites). Perturbation robustness was tested by removing each of the 13 pathways individually and measuring GDP retained relative to the full-system baseline.</w:t>
      </w:r>
    </w:p>
    <w:p>
      <w:pPr>
        <w:spacing w:before="120" w:after="60"/>
      </w:pPr>
      <w:r>
        <w:rPr>
          <w:rFonts w:ascii="Arial" w:hAnsi="Arial"/>
          <w:b/>
          <w:sz w:val="24"/>
        </w:rPr>
        <w:t>2.5 Cross-Species Trade Network (Layer 3)</w:t>
      </w:r>
    </w:p>
    <w:p>
      <w:pPr>
        <w:spacing w:after="60"/>
      </w:pPr>
      <w:r>
        <w:rPr>
          <w:rFonts w:ascii="Arial" w:hAnsi="Arial"/>
          <w:sz w:val="22"/>
        </w:rPr>
        <w:t>Eight organisms spanning four kingdoms were included: Komagataeibacter xylinus, Escherichia coli K-12, Saccharomyces cerevisiae, Ganoderma lucidum, Arabidopsis thaliana, Homo sapiens, Acropora millepora, and Ambystoma mexicanum. Pairwise trade cost was computed as a weighted sum of codon usage distance (Euclidean distance between RSCU vectors across 61 sense codons, weight 0.5), regulatory barrier (0.3 for cross-kingdom, 0.1 for same-kingdom, weight 0.3), and baseline cost (weight 0.2). Comparative advantage was assigned from a curated capability map based on gene families unique to each lineage. The trade network was constructed as a complete weighted graph with edge weights equal to inverse trade cost.</w:t>
      </w:r>
    </w:p>
    <w:p>
      <w:pPr>
        <w:spacing w:before="120" w:after="60"/>
      </w:pPr>
      <w:r>
        <w:rPr>
          <w:rFonts w:ascii="Arial" w:hAnsi="Arial"/>
          <w:b/>
          <w:sz w:val="24"/>
        </w:rPr>
        <w:t>2.6 Software and Reproducibility</w:t>
      </w:r>
    </w:p>
    <w:p>
      <w:pPr>
        <w:spacing w:after="60"/>
      </w:pPr>
      <w:r>
        <w:rPr>
          <w:rFonts w:ascii="Arial" w:hAnsi="Arial"/>
          <w:sz w:val="22"/>
        </w:rPr>
        <w:t>All analyses were implemented in Python 3.12 using NetworkX 3.0, Scanpy 1.10, Matplotlib 3.8, NumPy 1.26, SciPy 1.12, and the powerlaw library 1.5. The complete analysis pipeline is executable via a single command (python run_all.py). All data is cached locally after first retrieval to ensure reproducibility.</w:t>
      </w:r>
    </w:p>
    <w:p>
      <w:pPr>
        <w:spacing w:before="120" w:after="60"/>
      </w:pPr>
      <w:r>
        <w:rPr>
          <w:rFonts w:ascii="Arial" w:hAnsi="Arial"/>
          <w:b/>
          <w:sz w:val="24"/>
        </w:rPr>
        <w:t>Data Availability</w:t>
      </w:r>
    </w:p>
    <w:p>
      <w:pPr>
        <w:spacing w:after="60"/>
      </w:pPr>
      <w:r>
        <w:rPr>
          <w:rFonts w:ascii="Arial" w:hAnsi="Arial"/>
          <w:sz w:val="22"/>
        </w:rPr>
        <w:t>All source code, cached data, and analysis scripts for this study are available on GitHub at https://github.com/Sage-Clokey/Living-works-by-the-word under the BME_129C_Capstone directory. The repository includes the complete reproducible pipeline (run_all.py), all network construction scripts, simulation code, and figure generation scripts. Raw network data from RegulonDB, KEGG, and STRING are cached in the data/ directory and can be re-fetched from their respective APIs. The pbmc3k single-cell dataset is publicly available through 10x Genomics and Scanpy. Codon usage tables are available from the Kazusa Codon Usage Database. In the future, the final processed datasets and analysis outputs will be deposited on Dryad (https://datadryad.org) with a DOI for long-term archival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