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864"/>
          <w:sz w:val="32"/>
          <w:szCs w:val="32"/>
        </w:rPr>
        <w:t xml:space="preserve">CENTURIUUM</w:t>
      </w:r>
    </w:p>
    <w:p>
      <w:pPr>
        <w:spacing w:after="240"/>
      </w:pPr>
      <w:r>
        <w:rPr>
          <w:b/>
          <w:bCs/>
          <w:color w:val="595959"/>
          <w:sz w:val="26"/>
          <w:szCs w:val="26"/>
        </w:rPr>
        <w:t xml:space="preserve">Feature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Feature ID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- 0003</w:t>
            </w:r>
          </w:p>
        </w:tc>
      </w:tr>
      <w:tr>
        <w:tc>
          <w:tcPr>
            <w:tcW w:type="dxa" w:w="24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 of Accounts (COA)</w:t>
            </w:r>
          </w:p>
        </w:tc>
      </w:tr>
      <w:tr>
        <w:tc>
          <w:tcPr>
            <w:tcW w:type="dxa" w:w="24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- Database</w:t>
            </w:r>
          </w:p>
        </w:tc>
      </w:tr>
      <w:tr>
        <w:tc>
          <w:tcPr>
            <w:tcW w:type="dxa" w:w="24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Related / Recycled IDs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Josh Tonnesen</w:t>
            </w:r>
          </w:p>
        </w:tc>
      </w:tr>
      <w:tr>
        <w:tc>
          <w:tcPr>
            <w:tcW w:type="dxa" w:w="24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August 14, 2026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1. Purpose &amp; Business Context</w:t>
      </w:r>
    </w:p>
    <w:p>
      <w:pPr>
        <w:spacing w:after="120"/>
      </w:pPr>
      <w:r>
        <w:rPr>
          <w:sz w:val="22"/>
          <w:szCs w:val="22"/>
        </w:rPr>
        <w:t xml:space="preserve">The Chart of Accounts (COA) table is the structural backbone every downstream financial view in Centuriuum depends on — the Profit &amp; Loss and Balance Sheet reports (RP-0001, RP-0002), the SDE/EBITDA tab (QE-0004), the projection model, and the eventual tax-return bridge all filter and drill down through this table's hierarchy rather than through raw GL account names. Every company organizes its books differently, so a generic "filter to Net Income" or "filter to Gross Profit" operation across dozens of companies with dozens of different charts of accounts requires a fixed, predictable hierarchy spine layered on top of each company's own account structure.</w:t>
      </w:r>
    </w:p>
    <w:p>
      <w:pPr>
        <w:spacing w:after="120"/>
      </w:pPr>
      <w:r>
        <w:rPr>
          <w:sz w:val="22"/>
          <w:szCs w:val="22"/>
        </w:rPr>
        <w:t xml:space="preserve">This spec defines the table structure only — the fields each account record carries, the fixed vs. company-configurable hierarchy levels, and the placeholders needed for a future tax-return bridge. It covers the full chart of accounts (both Profit &amp; Loss and Balance Sheet accounts), generated from the GL data already loaded per company/deal. It does not define the drag-and-drop editing UI (DB-0006), the reclassification suggestion engine (DB-0007), or the actual tax-return mapping logic (QE-0001, QE-0002, DB-0008) — those are separate specs that read from or write to this table.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2. User Stories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 an Accountant (QoE preparer), I want the system to automatically build a chart of accounts from the loaded GL data, so that I don't have to manually re-enter every account before I can start building reports for a deal.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 an Accountant, I want each account tagged with a fixed hierarchy position (e.g., Net Income, Gross Profit, Total Revenue), so that P&amp;L and EBITDA reports filter consistently across every deal regardless of how a given company organized its own books.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 a Broker, I want to view the resulting chart of accounts hierarchy for a deal, so that I can understand how the financials roll up without needing to interpret a raw GL export myself.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3.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create one COA record per unique external GL account code per company/deal, sourced from GL Data (DB-0002).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include an account for every GL account that has at least one recorded transaction; accounts with zero activity are not required to appear until a transaction posts.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COA record shall store, at minimum: internal Account ID, Company/Deal ID, External Account Code, Account Name, Account Type (Asset, Liability, Equity, Income, Cost of Goods Sold, Expense, Other Income, Other Expense), Normal Balance (Debit/Credit), Statement Type (Balance Sheet or Profit &amp; Loss), and Active/Inactive flag.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COA record shall include 15 discrete Hierarchy Level fields (Level 1 through Level 15), representing that account's roll-up path from the top-level summary line down to itself.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Profit &amp; Loss accounts, Hierarchy Levels 1 through 5 shall be a fixed, system-assigned, non-editable rollup spine in this order: Level 1 = Net Income, Level 2 = Pretax Income, Level 3 = Operating Income, Level 4 = Gross Profit, Level 5 = Total Revenue. Every P&amp;L account shall resolve up through this spine regardless of company.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Hierarchy Levels 6 through 15 (and any P&amp;L sub-levels below the fixed spine) shall be open, company-specific subtotal and account levels, editable only through the configuration UI in DB-0006.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provide an "Estimated Tax Return Line" field on each account for a user-entered estimate of which tax return line the account is expected to map to. This is a placeholder/estimate field only — the confirmed mapping logic and tax return table live in DB-0008 and QE-0002.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Edits to an account's hierarchy assignment (via DB-0006) or an accepted reclassification suggestion (via DB-0007) shall update the COA record in place. Each such edit shall write a corresponding entry to the Activity &amp; Audit Log (SY-0003) capturing the prior value, new value, editing user, and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When a re-pull of GL data introduces an account not previously present in the COA table, the system shall add it without a hierarchy assignment below the fixed spine and shall flag it for reclassification rather than defaulting it silently into an existing rollup.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COA record, field, or lookup shall span more than one company/deal.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4. Data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Data Element</w:t>
            </w:r>
          </w:p>
        </w:tc>
        <w:tc>
          <w:tcPr>
            <w:tcW w:type="dxa" w:w="14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Read/Write</w:t>
            </w:r>
          </w:p>
        </w:tc>
        <w:tc>
          <w:tcPr>
            <w:tcW w:type="dxa" w:w="476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Source / Destination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ID (internal PK)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- 0003 (this table)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/ Deal 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 - 0002 Company Access Setup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Account Code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- 0002 GL Data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- 0002 GL Data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Type / Normal Balance / Statement Type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 / Write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- 0002 GL Data (initial); DB - 0006 (override)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 / Inactive Flag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- 0002 GL Data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Hierarchy Level 1 - 5 (fixed P&amp;L spine)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- 0003 (system-assigned)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Hierarchy Level 6 - 15 (configurable)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- 0006 Configurable COA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Estimated Tax Return Line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input; consumed by QE - 0001 / QE - 0002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Confirmed Tax Return Line (future)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- 0008 Tax Return Table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 Modified By / Timestamp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 - 0003 Activity &amp; Audit Log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5. Access &amp; Security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Roles with access: Accountant / QoE preparer (edits hierarchy assignment via DB - 0006, which operates on this table); Broker (view only).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Roles explicitly excluded: Bank, Buyer — the chart of accounts is an internal financial workpaper structure, not a deal-facing document, and is not exposed to these roles at any deal stage.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Company (seller) view access to be confirmed — see Open Questions.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Deal isolation confirmed: this feature is scoped to a single company/deal only. No cross-deal or cross-company visibility of data, documents, or search results.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6. UI / UX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Platform: Web only.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Wireframe reference: N/A — this spec defines table structure only; the editing UI is covered by DB - 0006.</w:t>
      </w:r>
    </w:p>
    <w:p>
      <w:pPr>
        <w:spacing w:after="120"/>
      </w:pPr>
      <w:r>
        <w:rPr>
          <w:sz w:val="22"/>
          <w:szCs w:val="22"/>
        </w:rPr>
        <w:t xml:space="preserve">No direct end-user interface is introduced by this spec. Reports and modules that consume this table (RP - 0001, RP - 0002, QE - 0004, and the projection model) will read Hierarchy Levels 1-15 to build filters and drill-downs; the hierarchy editing/drag-and-drop experience itself is specified separately in DB - 0006.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7.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Related Feature</w:t>
            </w:r>
          </w:p>
        </w:tc>
        <w:tc>
          <w:tcPr>
            <w:tcW w:type="dxa" w:w="16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516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- 0002 (GL Data)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of accounts and transaction activity that generates COA records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- 0004 (Trial Balance)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Related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Balance Sheet detail may be sourced from TB rather than GL directly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- 0006 (Configurable COA)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Blocks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Editing UI for hierarchy levels 6-15 operates on this table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- 0007 (Suggestions on COA)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Blocks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Reclassification suggestion engine writes hierarchy changes to this table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- 0008 (Tax Return Table)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 (future)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Confirmed tax return line mapping, once specced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QE - 0001 (Tax Reconciliation)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Related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Consumes Estimated / Confirmed tax line mapping for the bridge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QE - 0002 (Full Tax Return Mapping)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Related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account-to-tax-line mapping logic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RP - 0001 (Profit &amp; Loss)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Blocks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P&amp;L report filters and drills using hierarchy levels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QE - 0004 (SDE/EBITDA Tab)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Blocks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Filters on the fixed Net Income / rollup spine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 - 0003 (Activity &amp; Audit Log)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Records all in-place edits to hierarchy assignment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8. Out of Scope / Deferred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Drag-and-drop hierarchy editing UI — belongs to DB - 0006.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Automated reclassification suggestion logic — belongs to DB - 0007.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Confirmed/final tax return line mapping logic and the tax return table structure itself — belongs to QE - 0001, QE - 0002, and DB - 0008.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Balance Sheet fixed hierarchy spine (the BS equivalent of the P&amp;L Net Income → Total Revenue chain) — not yet defined; see Open Questions.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Cross-validation of GL totals against COA rollups — belongs to DB - 0005 Validations.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9. Open Questions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What is the fixed hierarchy spine for Balance Sheet accounts (the BS equivalent of the P&amp;L Net Income → Total Revenue chain)? This needs definition (e.g., Total Assets, Current Assets, Total Liabilities, Total Equity) before DB - 0006 and BS reports can rely on a fixed filter the way the P&amp;L side does.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Should Cost of Goods Sold and Operating Expenses have their own reserved fixed hierarchy tags alongside Gross Profit and Operating Income (e.g., a "Total COGS" tag at Level 4, a "Total Operating Expenses" tag at Level 3), or are those left fully configurable like other sub-accounts?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Where does "Other Income/Expense" sit in the fixed P&amp;L spine, if at all?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Should the Estimated Tax Return Line field vary by entity/return type (1065, 1120, 1120-S, Schedule C), matching the variation expected in DB - 0008? Assumed yes, but not yet confirmed.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Does the Company (seller) role need any view access to the COA/hierarchy, or is this purely an internal Accountant/Broker workpaper?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Is a 15-level maximum sufficient for the deepest real-world chart of accounts Centuriuum will encounter, or should this be validated against actual client files before the schema is locked?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10. 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COA record is created automatically for every account with GL activity, scoped to a single company/deal.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Every Profit &amp; Loss account carries values for Hierarchy Levels 1-5 matching the fixed spine: Net Income, Pretax Income, Operating Income, Gross Profit, Total Revenue.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two accounts within the same company/deal share the same External Account Code.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Editing an account's hierarchy assignment updates the record in place and creates a matching Activity &amp; Audit Log entry.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newly introduced account from a GL re-pull appears in the COA table without a hierarchy assignment below the fixed spine and is flagged for reclassification.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user can view or query COA records belonging to a different company/deal than the one they are authorized 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F0214BC29ADA4AA8CFF80B67D2DD03" ma:contentTypeVersion="3" ma:contentTypeDescription="Create a new document." ma:contentTypeScope="" ma:versionID="a5913b1f355fdbd3b430fc4b3e74578d">
  <xsd:schema xmlns:xsd="http://www.w3.org/2001/XMLSchema" xmlns:xs="http://www.w3.org/2001/XMLSchema" xmlns:p="http://schemas.microsoft.com/office/2006/metadata/properties" xmlns:ns2="cfc27655-a87d-44f0-8c14-97832468632f" targetNamespace="http://schemas.microsoft.com/office/2006/metadata/properties" ma:root="true" ma:fieldsID="30183fae3b956c9523af1ba6e10ee2d3" ns2:_="">
    <xsd:import namespace="cfc27655-a87d-44f0-8c14-97832468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c27655-a87d-44f0-8c14-9783246863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8EEF4C-4826-431D-AD61-8BD5506C922E}"/>
</file>

<file path=customXml/itemProps2.xml><?xml version="1.0" encoding="utf-8"?>
<ds:datastoreItem xmlns:ds="http://schemas.openxmlformats.org/officeDocument/2006/customXml" ds:itemID="{45305303-FD82-4106-8AD0-0AC9EC016C24}"/>
</file>

<file path=customXml/itemProps3.xml><?xml version="1.0" encoding="utf-8"?>
<ds:datastoreItem xmlns:ds="http://schemas.openxmlformats.org/officeDocument/2006/customXml" ds:itemID="{99D2C5CF-18F7-4508-8F63-8A8F26D0D04E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2026-08-14T11:20:08Z</dcterms:created>
  <dcterms:modified xsi:type="dcterms:W3CDTF">2026-08-14T11:20:08Z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0x01010091F0214BC29ADA4AA8CFF80B67D2DD03</vt:lpwstr>
  </property>
</Properties>
</file>