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CENTURIUUM</w:t>
      </w:r>
    </w:p>
    <w:p>
      <w:pPr>
        <w:spacing w:after="240"/>
        <w:jc w:val="center"/>
      </w:pPr>
      <w:r>
        <w:rPr>
          <w:b/>
          <w:bCs/>
          <w:sz w:val="26"/>
          <w:szCs w:val="26"/>
        </w:rPr>
        <w:t xml:space="preserve">Feature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D9D9D9" w:color="auto" w:val="clear"/>
          </w:tcPr>
          <w:p>
            <w:r>
              <w:rPr>
                <w:b/>
                <w:bCs/>
              </w:rPr>
              <w:t xml:space="preserve">Feature ID</w:t>
            </w:r>
          </w:p>
        </w:tc>
        <w:tc>
          <w:tcPr>
            <w:tcW w:type="dxa" w:w="6360"/>
          </w:tcPr>
          <w:p>
            <w:r>
              <w:t xml:space="preserve">QE - 0001</w:t>
            </w:r>
          </w:p>
        </w:tc>
      </w:tr>
      <w:tr>
        <w:tc>
          <w:tcPr>
            <w:tcW w:type="dxa" w:w="3000"/>
            <w:shd w:fill="D9D9D9" w:color="auto" w:val="clear"/>
          </w:tcPr>
          <w:p>
            <w:r>
              <w:rPr>
                <w:b/>
                <w:bCs/>
              </w:rPr>
              <w:t xml:space="preserve">Feature Name</w:t>
            </w:r>
          </w:p>
        </w:tc>
        <w:tc>
          <w:tcPr>
            <w:tcW w:type="dxa" w:w="6360"/>
          </w:tcPr>
          <w:p>
            <w:r>
              <w:t xml:space="preserve">Tax Reconciliation</w:t>
            </w:r>
          </w:p>
        </w:tc>
      </w:tr>
      <w:tr>
        <w:tc>
          <w:tcPr>
            <w:tcW w:type="dxa" w:w="3000"/>
            <w:shd w:fill="D9D9D9" w:color="auto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6360"/>
          </w:tcPr>
          <w:p>
            <w:r>
              <w:t xml:space="preserve">QE - Quality of Earnings</w:t>
            </w:r>
          </w:p>
        </w:tc>
      </w:tr>
      <w:tr>
        <w:tc>
          <w:tcPr>
            <w:tcW w:type="dxa" w:w="3000"/>
            <w:shd w:fill="D9D9D9" w:color="auto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360"/>
          </w:tcPr>
          <w:p>
            <w:r>
              <w:t xml:space="preserve">Draft</w:t>
            </w:r>
          </w:p>
        </w:tc>
      </w:tr>
      <w:tr>
        <w:tc>
          <w:tcPr>
            <w:tcW w:type="dxa" w:w="3000"/>
            <w:shd w:fill="D9D9D9" w:color="auto" w:val="clear"/>
          </w:tcPr>
          <w:p>
            <w:r>
              <w:rPr>
                <w:b/>
                <w:bCs/>
              </w:rPr>
              <w:t xml:space="preserve">Related / Recycled IDs</w:t>
            </w:r>
          </w:p>
        </w:tc>
        <w:tc>
          <w:tcPr>
            <w:tcW w:type="dxa" w:w="6360"/>
          </w:tcPr>
          <w:p>
            <w:r>
              <w:t xml:space="preserve">None</w:t>
            </w:r>
          </w:p>
        </w:tc>
      </w:tr>
      <w:tr>
        <w:tc>
          <w:tcPr>
            <w:tcW w:type="dxa" w:w="3000"/>
            <w:shd w:fill="D9D9D9" w:color="auto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360"/>
          </w:tcPr>
          <w:p>
            <w:r>
              <w:t xml:space="preserve">Josh Tonnesen</w:t>
            </w:r>
          </w:p>
        </w:tc>
      </w:tr>
      <w:tr>
        <w:tc>
          <w:tcPr>
            <w:tcW w:type="dxa" w:w="3000"/>
            <w:shd w:fill="D9D9D9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360"/>
          </w:tcPr>
          <w:p>
            <w:r>
              <w:t xml:space="preserve">August 14, 2026</w:t>
            </w:r>
          </w:p>
        </w:tc>
      </w:tr>
    </w:tbl>
    <w:p>
      <w:pPr>
        <w:spacing w:after="150" w:before="300"/>
      </w:pPr>
      <w:r>
        <w:rPr>
          <w:b/>
          <w:bCs/>
          <w:color w:val="1F3864"/>
          <w:sz w:val="28"/>
          <w:szCs w:val="28"/>
        </w:rPr>
        <w:t xml:space="preserve">1. Purpose &amp; Business Context</w:t>
      </w:r>
    </w:p>
    <w:p>
      <w:pPr>
        <w:spacing w:after="120"/>
      </w:pPr>
      <w:r>
        <w:t xml:space="preserve">Tax Reconciliation provides the bridge between the net income reported on a company's filed tax return and the net income shown in its GL-based financial statements, for the trailing three fiscal years, and is a foundational workpaper underneath the Quality of Earnings module. Tax return net income and financial statement net income virtually never match on their own — permanent and timing book/tax differences (Schedule M-1 items), cash-versus-accrual basis differences, and simple data or classification issues all drive a gap — and a QoE engagement cannot be relied on until that gap is explained. This feature uses the tax return data already captured in the Tax Return Table (DB-0008) and the GL-based financials (DB-0002 / RP-0001) to auto-populate a first-draft reconciliation — matching M-1 items to P&amp;L accounts and testing a fixed set of cash/accrual adjustments against the remaining gap — so the accountant performing the reconciliation starts from a system-generated draft rather than a blank worksheet, reviews and confirms or corrects it, and finalizes it with any additional support from company Q&amp;A.</w:t>
      </w:r>
    </w:p>
    <w:p>
      <w:pPr>
        <w:spacing w:after="150" w:before="300"/>
      </w:pPr>
      <w:r>
        <w:rPr>
          <w:b/>
          <w:bCs/>
          <w:color w:val="1F3864"/>
          <w:sz w:val="28"/>
          <w:szCs w:val="28"/>
        </w:rPr>
        <w:t xml:space="preserve">2.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QoE accountant, I want the system to auto-populate Schedule M-1 reconciling items against corresponding P&amp;L accounts, so that I don't have to manually trace every M-1 line to its GL account from scratch.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QoE accountant, I want the system to compute a fixed set of candidate cash/accrual basis adjustments directly from balance sheet account changes, so that I can quickly test which combination closes the gap between tax return net income and financial statement net income.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QoE accountant, I want to accept, reject, edit, or manually add any reconciling item, so that I retain full control over the final reconciliation even when the system's suggestions are incomplete or wrong.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QoE accountant, I want officer compensation and book/tax depreciation to always appear as reconciling lines even when zero, so that these commonly-relevant items are never accidentally skipped on an engagement.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company user, I want to receive specific, prepopulated questions when the reconciliation can't be fully closed by the system, so that I can supply the missing explanation without lengthy back-and-forth.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QoE reviewer, I want a summary showing what reconciled cleanly, what was manually resolved, and what remains open, so that I can assess the reliability of the engagement's financial data before relying on it downstream.</w:t>
      </w:r>
    </w:p>
    <w:p>
      <w:pPr>
        <w:spacing w:after="150" w:before="300"/>
      </w:pPr>
      <w:r>
        <w:rPr>
          <w:b/>
          <w:bCs/>
          <w:color w:val="1F3864"/>
          <w:sz w:val="28"/>
          <w:szCs w:val="28"/>
        </w:rPr>
        <w:t xml:space="preserve">3. Functional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create one reconciliation record per fiscal year, for each of the trailing three fiscal years, scoped to a single company/deal.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support tax return types Form 1120, Form 1120-S, Form 1065, and Schedule C for v1; other return types are out of scope (see Section 8).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pull tax return net/ordinary income for the applicable form type from the Tax Return Table (DB-0008) for each fiscal year in scope.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pull GL-based net income for the same period from GL Data / Profit &amp; Loss (DB-0002 / RP-0001), using the unadjusted figure as reported — not the adjusted EBITDA/SDE figure from QE-0004.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pull all Schedule M-1 line items present on the loaded tax return from DB-0008 and attempt to match each to a corresponding P&amp;L account using AI-assisted matching.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each matched M-1 item, the system shall display an explanatory note (e.g., hover/tooltip) describing the basis for the match, such as “matches the full balance of the charitable contributions account” or “matches half of the travel account (assumed 50% non-deductible meals/entertainment).”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Matched M-1 items shall be presented as suggestions only; no matched item shall count toward the reconciled total until the accountant explicitly accepts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always display an officer compensation reconciling line for every reconciliation, populated from the tax return officer compensation field and, where available, payroll data (DR-0007), defaulting to $0 when not applicable.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always display a book-versus-tax depreciation reconciling line for every reconciliation, populated from GL depreciation expense and the tax return's reported depreciation figure, defaulting to $0 difference when not applicable.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compute a fixed, defined set of candidate cash/accrual basis adjustments for each fiscal year, including at minimum: change in accounts receivable, change in customer deposits/deferred revenue, change in inventory, and change in accounts payable, each calculated as the exact beginning-to-ending balance delta for that account from the Trial Balance (DB-0004) — never as an AI-estimated or approximated value.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also stage additional deterministic candidate items commonly relevant to closing a residual gap, including non-taxable income and book-recorded federal/state income tax expense, computed directly from GL data.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test combinations of the staged candidate adjustments against the remaining variance (tax return net income less financial net income, after accepted M-1 items) and present the best-fit combination(s) that close the gap within the engagement's configured threshold.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Each staged candidate adjustment shall be individually toggleable (include/exclude) by the accountant, and shall not count toward the reconciled total until included by the accountant.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accountant shall be able to manually add a new reconciling item with a description and amount, and to edit or remove any system-proposed or manually-added item.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support an engagement-level configurable reconciliation threshold, expressed as a percentage of adjusted EBITDA/SDE (QE-0004) where that figure is available, falling back to a percentage of tax return net income or a user-entered dollar amount where it is not yet available.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display the running total of confirmed reconciling items and the remaining variance in real time as items are accepted, rejected, edited, or added.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mark a fiscal year's reconciliation as “Reconciled” when the remaining variance falls within the configured threshold, and as “Open” otherwise.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 a fiscal year's reconciliation is marked “Open,” the system shall generate prepopulated clarifying questions tied to the specific unexplained account(s) or amount(s) and route them to the Q&amp;A module (QA-0001 / QA-0002) for the company to answer.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provide a summary view per fiscal year showing: tax return net income, financial net income, confirmed reconciling items, remaining variance, and reconciliation status.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shall log every manual addition, edit, acceptance, or rejection of a reconciling item to the Activity &amp; Audit Log (SY-0003), capturing user, timestamp, and before/after values.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reconciliation page shall be interactive, allowing the assigned QoE accountant to review, adjust, and finalize the reconciliation directly within the module rather than offline.</w:t>
      </w:r>
    </w:p>
    <w:p>
      <w:pPr>
        <w:spacing w:after="150" w:before="300"/>
      </w:pPr>
      <w:r>
        <w:rPr>
          <w:b/>
          <w:bCs/>
          <w:color w:val="1F3864"/>
          <w:sz w:val="28"/>
          <w:szCs w:val="28"/>
        </w:rPr>
        <w:t xml:space="preserve">4.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Data Element</w:t>
            </w:r>
          </w:p>
        </w:tc>
        <w:tc>
          <w:tcPr>
            <w:tcW w:type="dxa" w:w="15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Read/Write</w:t>
            </w:r>
          </w:p>
        </w:tc>
        <w:tc>
          <w:tcPr>
            <w:tcW w:type="dxa" w:w="426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Source / Destination</w:t>
            </w:r>
          </w:p>
        </w:tc>
      </w:tr>
      <w:tr>
        <w:tc>
          <w:tcPr>
            <w:tcW w:type="dxa" w:w="3600"/>
          </w:tcPr>
          <w:p>
            <w:r>
              <w:t xml:space="preserve">Tax return net/ordinary income</w:t>
            </w:r>
          </w:p>
        </w:tc>
        <w:tc>
          <w:tcPr>
            <w:tcW w:type="dxa" w:w="1500"/>
          </w:tcPr>
          <w:p>
            <w:r>
              <w:t xml:space="preserve">Read</w:t>
            </w:r>
          </w:p>
        </w:tc>
        <w:tc>
          <w:tcPr>
            <w:tcW w:type="dxa" w:w="4260"/>
          </w:tcPr>
          <w:p>
            <w:r>
              <w:t xml:space="preserve">DB - 0008 (Tax Return Table)</w:t>
            </w:r>
          </w:p>
        </w:tc>
      </w:tr>
      <w:tr>
        <w:tc>
          <w:tcPr>
            <w:tcW w:type="dxa" w:w="3600"/>
          </w:tcPr>
          <w:p>
            <w:r>
              <w:t xml:space="preserve">Schedule M-1 line items</w:t>
            </w:r>
          </w:p>
        </w:tc>
        <w:tc>
          <w:tcPr>
            <w:tcW w:type="dxa" w:w="1500"/>
          </w:tcPr>
          <w:p>
            <w:r>
              <w:t xml:space="preserve">Read</w:t>
            </w:r>
          </w:p>
        </w:tc>
        <w:tc>
          <w:tcPr>
            <w:tcW w:type="dxa" w:w="4260"/>
          </w:tcPr>
          <w:p>
            <w:r>
              <w:t xml:space="preserve">DB - 0008 (Tax Return Table)</w:t>
            </w:r>
          </w:p>
        </w:tc>
      </w:tr>
      <w:tr>
        <w:tc>
          <w:tcPr>
            <w:tcW w:type="dxa" w:w="3600"/>
          </w:tcPr>
          <w:p>
            <w:r>
              <w:t xml:space="preserve">Officer compensation (tax return)</w:t>
            </w:r>
          </w:p>
        </w:tc>
        <w:tc>
          <w:tcPr>
            <w:tcW w:type="dxa" w:w="1500"/>
          </w:tcPr>
          <w:p>
            <w:r>
              <w:t xml:space="preserve">Read</w:t>
            </w:r>
          </w:p>
        </w:tc>
        <w:tc>
          <w:tcPr>
            <w:tcW w:type="dxa" w:w="4260"/>
          </w:tcPr>
          <w:p>
            <w:r>
              <w:t xml:space="preserve">DB - 0008 (Tax Return Table)</w:t>
            </w:r>
          </w:p>
        </w:tc>
      </w:tr>
      <w:tr>
        <w:tc>
          <w:tcPr>
            <w:tcW w:type="dxa" w:w="3600"/>
          </w:tcPr>
          <w:p>
            <w:r>
              <w:t xml:space="preserve">Officer compensation (payroll, if available)</w:t>
            </w:r>
          </w:p>
        </w:tc>
        <w:tc>
          <w:tcPr>
            <w:tcW w:type="dxa" w:w="1500"/>
          </w:tcPr>
          <w:p>
            <w:r>
              <w:t xml:space="preserve">Read</w:t>
            </w:r>
          </w:p>
        </w:tc>
        <w:tc>
          <w:tcPr>
            <w:tcW w:type="dxa" w:w="4260"/>
          </w:tcPr>
          <w:p>
            <w:r>
              <w:t xml:space="preserve">DR - 0007 (Payroll System Integrations)</w:t>
            </w:r>
          </w:p>
        </w:tc>
      </w:tr>
      <w:tr>
        <w:tc>
          <w:tcPr>
            <w:tcW w:type="dxa" w:w="3600"/>
          </w:tcPr>
          <w:p>
            <w:r>
              <w:t xml:space="preserve">Tax return depreciation figure</w:t>
            </w:r>
          </w:p>
        </w:tc>
        <w:tc>
          <w:tcPr>
            <w:tcW w:type="dxa" w:w="1500"/>
          </w:tcPr>
          <w:p>
            <w:r>
              <w:t xml:space="preserve">Read</w:t>
            </w:r>
          </w:p>
        </w:tc>
        <w:tc>
          <w:tcPr>
            <w:tcW w:type="dxa" w:w="4260"/>
          </w:tcPr>
          <w:p>
            <w:r>
              <w:t xml:space="preserve">DB - 0008 (Tax Return Table)</w:t>
            </w:r>
          </w:p>
        </w:tc>
      </w:tr>
      <w:tr>
        <w:tc>
          <w:tcPr>
            <w:tcW w:type="dxa" w:w="3600"/>
          </w:tcPr>
          <w:p>
            <w:r>
              <w:t xml:space="preserve">GL-based net income</w:t>
            </w:r>
          </w:p>
        </w:tc>
        <w:tc>
          <w:tcPr>
            <w:tcW w:type="dxa" w:w="1500"/>
          </w:tcPr>
          <w:p>
            <w:r>
              <w:t xml:space="preserve">Read</w:t>
            </w:r>
          </w:p>
        </w:tc>
        <w:tc>
          <w:tcPr>
            <w:tcW w:type="dxa" w:w="4260"/>
          </w:tcPr>
          <w:p>
            <w:r>
              <w:t xml:space="preserve">DB - 0002 (GL Data) / RP - 0001 (Profit &amp; Loss)</w:t>
            </w:r>
          </w:p>
        </w:tc>
      </w:tr>
      <w:tr>
        <w:tc>
          <w:tcPr>
            <w:tcW w:type="dxa" w:w="3600"/>
          </w:tcPr>
          <w:p>
            <w:r>
              <w:t xml:space="preserve">GL depreciation expense</w:t>
            </w:r>
          </w:p>
        </w:tc>
        <w:tc>
          <w:tcPr>
            <w:tcW w:type="dxa" w:w="1500"/>
          </w:tcPr>
          <w:p>
            <w:r>
              <w:t xml:space="preserve">Read</w:t>
            </w:r>
          </w:p>
        </w:tc>
        <w:tc>
          <w:tcPr>
            <w:tcW w:type="dxa" w:w="4260"/>
          </w:tcPr>
          <w:p>
            <w:r>
              <w:t xml:space="preserve">DB - 0002 (GL Data)</w:t>
            </w:r>
          </w:p>
        </w:tc>
      </w:tr>
      <w:tr>
        <w:tc>
          <w:tcPr>
            <w:tcW w:type="dxa" w:w="3600"/>
          </w:tcPr>
          <w:p>
            <w:r>
              <w:t xml:space="preserve">Beginning/ending balances: AR, AP, inventory, customer deposits/deferred revenue</w:t>
            </w:r>
          </w:p>
        </w:tc>
        <w:tc>
          <w:tcPr>
            <w:tcW w:type="dxa" w:w="1500"/>
          </w:tcPr>
          <w:p>
            <w:r>
              <w:t xml:space="preserve">Read</w:t>
            </w:r>
          </w:p>
        </w:tc>
        <w:tc>
          <w:tcPr>
            <w:tcW w:type="dxa" w:w="4260"/>
          </w:tcPr>
          <w:p>
            <w:r>
              <w:t xml:space="preserve">DB - 0004 (Trial Balance)</w:t>
            </w:r>
          </w:p>
        </w:tc>
      </w:tr>
      <w:tr>
        <w:tc>
          <w:tcPr>
            <w:tcW w:type="dxa" w:w="3600"/>
          </w:tcPr>
          <w:p>
            <w:r>
              <w:t xml:space="preserve">Adjusted EBITDA/SDE (threshold basis, where available)</w:t>
            </w:r>
          </w:p>
        </w:tc>
        <w:tc>
          <w:tcPr>
            <w:tcW w:type="dxa" w:w="1500"/>
          </w:tcPr>
          <w:p>
            <w:r>
              <w:t xml:space="preserve">Read</w:t>
            </w:r>
          </w:p>
        </w:tc>
        <w:tc>
          <w:tcPr>
            <w:tcW w:type="dxa" w:w="4260"/>
          </w:tcPr>
          <w:p>
            <w:r>
              <w:t xml:space="preserve">QE - 0004 (SDE/EBITDA Tab)</w:t>
            </w:r>
          </w:p>
        </w:tc>
      </w:tr>
      <w:tr>
        <w:tc>
          <w:tcPr>
            <w:tcW w:type="dxa" w:w="3600"/>
          </w:tcPr>
          <w:p>
            <w:r>
              <w:t xml:space="preserve">Reconciliation record (NI figures, matched/staged items, accepted status, variance, status per year)</w:t>
            </w:r>
          </w:p>
        </w:tc>
        <w:tc>
          <w:tcPr>
            <w:tcW w:type="dxa" w:w="1500"/>
          </w:tcPr>
          <w:p>
            <w:r>
              <w:t xml:space="preserve">Write</w:t>
            </w:r>
          </w:p>
        </w:tc>
        <w:tc>
          <w:tcPr>
            <w:tcW w:type="dxa" w:w="4260"/>
          </w:tcPr>
          <w:p>
            <w:r>
              <w:t xml:space="preserve">New QE - 0001 reconciliation table</w:t>
            </w:r>
          </w:p>
        </w:tc>
      </w:tr>
      <w:tr>
        <w:tc>
          <w:tcPr>
            <w:tcW w:type="dxa" w:w="3600"/>
          </w:tcPr>
          <w:p>
            <w:r>
              <w:t xml:space="preserve">Engagement-level reconciliation threshold setting</w:t>
            </w:r>
          </w:p>
        </w:tc>
        <w:tc>
          <w:tcPr>
            <w:tcW w:type="dxa" w:w="1500"/>
          </w:tcPr>
          <w:p>
            <w:r>
              <w:t xml:space="preserve">Read/Write</w:t>
            </w:r>
          </w:p>
        </w:tc>
        <w:tc>
          <w:tcPr>
            <w:tcW w:type="dxa" w:w="4260"/>
          </w:tcPr>
          <w:p>
            <w:r>
              <w:t xml:space="preserve">New QE - 0001 engagement settings table</w:t>
            </w:r>
          </w:p>
        </w:tc>
      </w:tr>
      <w:tr>
        <w:tc>
          <w:tcPr>
            <w:tcW w:type="dxa" w:w="3600"/>
          </w:tcPr>
          <w:p>
            <w:r>
              <w:t xml:space="preserve">Prepopulated clarifying questions</w:t>
            </w:r>
          </w:p>
        </w:tc>
        <w:tc>
          <w:tcPr>
            <w:tcW w:type="dxa" w:w="1500"/>
          </w:tcPr>
          <w:p>
            <w:r>
              <w:t xml:space="preserve">Write</w:t>
            </w:r>
          </w:p>
        </w:tc>
        <w:tc>
          <w:tcPr>
            <w:tcW w:type="dxa" w:w="4260"/>
          </w:tcPr>
          <w:p>
            <w:r>
              <w:t xml:space="preserve">QA - 0001 / QA - 0002 (Q&amp;A Module)</w:t>
            </w:r>
          </w:p>
        </w:tc>
      </w:tr>
      <w:tr>
        <w:tc>
          <w:tcPr>
            <w:tcW w:type="dxa" w:w="3600"/>
          </w:tcPr>
          <w:p>
            <w:r>
              <w:t xml:space="preserve">Manual edit/audit trail entries</w:t>
            </w:r>
          </w:p>
        </w:tc>
        <w:tc>
          <w:tcPr>
            <w:tcW w:type="dxa" w:w="1500"/>
          </w:tcPr>
          <w:p>
            <w:r>
              <w:t xml:space="preserve">Write</w:t>
            </w:r>
          </w:p>
        </w:tc>
        <w:tc>
          <w:tcPr>
            <w:tcW w:type="dxa" w:w="4260"/>
          </w:tcPr>
          <w:p>
            <w:r>
              <w:t xml:space="preserve">SY - 0003 (Activity &amp; Audit Log)</w:t>
            </w:r>
          </w:p>
        </w:tc>
      </w:tr>
    </w:tbl>
    <w:p>
      <w:pPr>
        <w:spacing w:after="150" w:before="300"/>
      </w:pPr>
      <w:r>
        <w:rPr>
          <w:b/>
          <w:bCs/>
          <w:color w:val="1F3864"/>
          <w:sz w:val="28"/>
          <w:szCs w:val="28"/>
        </w:rPr>
        <w:t xml:space="preserve">5. Access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Roles with access: QoE Accountant/Preparer (full edit), QoE Reviewer (view, approve/sign-off), Broker (view summary only, per SE-0002 configuration).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Roles explicitly excluded: Bank and Buyer users have no access to this workpaper unless and until explicitly granted per deal stage under SE-0002; Company/seller users see only the prepopulated clarifying questions routed to them through the Q&amp;A module, not the full reconciliation workpaper, unless broader access is separately granted.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Deal isolation confirmed: this feature is scoped to a single company/deal only. No cross-deal or cross-company visibility of data, documents, or search results.</w:t>
      </w:r>
    </w:p>
    <w:p>
      <w:pPr>
        <w:spacing w:after="150" w:before="300"/>
      </w:pPr>
      <w:r>
        <w:rPr>
          <w:b/>
          <w:bCs/>
          <w:color w:val="1F3864"/>
          <w:sz w:val="28"/>
          <w:szCs w:val="28"/>
        </w:rPr>
        <w:t xml:space="preserve">6. UI/UX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Platform: Web only. This is a dense analytical workpaper consistent with the platform convention that full analysis workflows are web-only, with mobile limited to lighter status/review actions.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Wireframe reference: N/A</w:t>
      </w:r>
    </w:p>
    <w:p>
      <w:pPr>
        <w:spacing w:after="120"/>
      </w:pPr>
      <w:r>
        <w:t xml:space="preserve">Interactive grid with a fiscal-year selector across the three years in scope. Tax return net income and financial net income are shown at the top, with matched M-1 items, staged cash/accrual candidates, and manually-added items listed below — each with an include/exclude toggle and a hover/tooltip explanation of the system's matching logic. A running total and remaining variance update live as items are toggled, edited, or added. A status indicator shows Reconciled or Open per year against the configured threshold, and an action surfaces any generated clarifying questions along with their routing status in the Q&amp;A module.</w:t>
      </w:r>
    </w:p>
    <w:p>
      <w:pPr>
        <w:spacing w:after="150" w:before="300"/>
      </w:pPr>
      <w:r>
        <w:rPr>
          <w:b/>
          <w:bCs/>
          <w:color w:val="1F3864"/>
          <w:sz w:val="28"/>
          <w:szCs w:val="28"/>
        </w:rPr>
        <w:t xml:space="preserve">7.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Related Feature</w:t>
            </w:r>
          </w:p>
        </w:tc>
        <w:tc>
          <w:tcPr>
            <w:tcW w:type="dxa" w:w="18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Relationship</w:t>
            </w:r>
          </w:p>
        </w:tc>
        <w:tc>
          <w:tcPr>
            <w:tcW w:type="dxa" w:w="536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t xml:space="preserve">DB - 0008</w:t>
            </w:r>
          </w:p>
        </w:tc>
        <w:tc>
          <w:tcPr>
            <w:tcW w:type="dxa" w:w="1800"/>
          </w:tcPr>
          <w:p>
            <w:r>
              <w:t xml:space="preserve">Depends on</w:t>
            </w:r>
          </w:p>
        </w:tc>
        <w:tc>
          <w:tcPr>
            <w:tcW w:type="dxa" w:w="5360"/>
          </w:tcPr>
          <w:p>
            <w:r>
              <w:t xml:space="preserve">Source of tax return data, including form type, net/ordinary income, M-1 items, officer compensation, and depreciation.</w:t>
            </w:r>
          </w:p>
        </w:tc>
      </w:tr>
      <w:tr>
        <w:tc>
          <w:tcPr>
            <w:tcW w:type="dxa" w:w="2200"/>
          </w:tcPr>
          <w:p>
            <w:r>
              <w:t xml:space="preserve">DB - 0002 / RP - 0001</w:t>
            </w:r>
          </w:p>
        </w:tc>
        <w:tc>
          <w:tcPr>
            <w:tcW w:type="dxa" w:w="1800"/>
          </w:tcPr>
          <w:p>
            <w:r>
              <w:t xml:space="preserve">Depends on</w:t>
            </w:r>
          </w:p>
        </w:tc>
        <w:tc>
          <w:tcPr>
            <w:tcW w:type="dxa" w:w="5360"/>
          </w:tcPr>
          <w:p>
            <w:r>
              <w:t xml:space="preserve">Source of GL-based financial net income for the reconciliation.</w:t>
            </w:r>
          </w:p>
        </w:tc>
      </w:tr>
      <w:tr>
        <w:tc>
          <w:tcPr>
            <w:tcW w:type="dxa" w:w="2200"/>
          </w:tcPr>
          <w:p>
            <w:r>
              <w:t xml:space="preserve">DB - 0004</w:t>
            </w:r>
          </w:p>
        </w:tc>
        <w:tc>
          <w:tcPr>
            <w:tcW w:type="dxa" w:w="1800"/>
          </w:tcPr>
          <w:p>
            <w:r>
              <w:t xml:space="preserve">Depends on</w:t>
            </w:r>
          </w:p>
        </w:tc>
        <w:tc>
          <w:tcPr>
            <w:tcW w:type="dxa" w:w="5360"/>
          </w:tcPr>
          <w:p>
            <w:r>
              <w:t xml:space="preserve">Source of exact beginning/ending balance sheet account deltas used for cash/accrual candidate adjustments.</w:t>
            </w:r>
          </w:p>
        </w:tc>
      </w:tr>
      <w:tr>
        <w:tc>
          <w:tcPr>
            <w:tcW w:type="dxa" w:w="2200"/>
          </w:tcPr>
          <w:p>
            <w:r>
              <w:t xml:space="preserve">QE - 0004</w:t>
            </w:r>
          </w:p>
        </w:tc>
        <w:tc>
          <w:tcPr>
            <w:tcW w:type="dxa" w:w="1800"/>
          </w:tcPr>
          <w:p>
            <w:r>
              <w:t xml:space="preserve">Depends on</w:t>
            </w:r>
          </w:p>
        </w:tc>
        <w:tc>
          <w:tcPr>
            <w:tcW w:type="dxa" w:w="5360"/>
          </w:tcPr>
          <w:p>
            <w:r>
              <w:t xml:space="preserve">Preferred basis for the reconciliation threshold once adjusted EBITDA/SDE is available; see Open Questions for the interim fallback.</w:t>
            </w:r>
          </w:p>
        </w:tc>
      </w:tr>
      <w:tr>
        <w:tc>
          <w:tcPr>
            <w:tcW w:type="dxa" w:w="2200"/>
          </w:tcPr>
          <w:p>
            <w:r>
              <w:t xml:space="preserve">QA - 0001 / QA - 0002</w:t>
            </w:r>
          </w:p>
        </w:tc>
        <w:tc>
          <w:tcPr>
            <w:tcW w:type="dxa" w:w="1800"/>
          </w:tcPr>
          <w:p>
            <w:r>
              <w:t xml:space="preserve">Depends on</w:t>
            </w:r>
          </w:p>
        </w:tc>
        <w:tc>
          <w:tcPr>
            <w:tcW w:type="dxa" w:w="5360"/>
          </w:tcPr>
          <w:p>
            <w:r>
              <w:t xml:space="preserve">Routing of system-generated prepopulated clarifying questions to the company for response.</w:t>
            </w:r>
          </w:p>
        </w:tc>
      </w:tr>
      <w:tr>
        <w:tc>
          <w:tcPr>
            <w:tcW w:type="dxa" w:w="2200"/>
          </w:tcPr>
          <w:p>
            <w:r>
              <w:t xml:space="preserve">QE - 0015 (Q&amp;A Generator — not yet specced)</w:t>
            </w:r>
          </w:p>
        </w:tc>
        <w:tc>
          <w:tcPr>
            <w:tcW w:type="dxa" w:w="1800"/>
          </w:tcPr>
          <w:p>
            <w:r>
              <w:t xml:space="preserve">Related / Coordinate</w:t>
            </w:r>
          </w:p>
        </w:tc>
        <w:tc>
          <w:tcPr>
            <w:tcW w:type="dxa" w:w="5360"/>
          </w:tcPr>
          <w:p>
            <w:r>
              <w:t xml:space="preserve">Broader, more general question-generation engine referenced elsewhere in the product list. QE-0001 generates its own narrowly-scoped reconciliation questions independently for now; the two should be architected so the underlying flag-and-question pattern can be aligned or consumed later rather than duplicated (see Open Questions).</w:t>
            </w:r>
          </w:p>
        </w:tc>
      </w:tr>
      <w:tr>
        <w:tc>
          <w:tcPr>
            <w:tcW w:type="dxa" w:w="2200"/>
          </w:tcPr>
          <w:p>
            <w:r>
              <w:t xml:space="preserve">SY - 0001</w:t>
            </w:r>
          </w:p>
        </w:tc>
        <w:tc>
          <w:tcPr>
            <w:tcW w:type="dxa" w:w="1800"/>
          </w:tcPr>
          <w:p>
            <w:r>
              <w:t xml:space="preserve">Depends on</w:t>
            </w:r>
          </w:p>
        </w:tc>
        <w:tc>
          <w:tcPr>
            <w:tcW w:type="dxa" w:w="5360"/>
          </w:tcPr>
          <w:p>
            <w:r>
              <w:t xml:space="preserve">AI-assisted M-1 item matching consumes metered AI usage.</w:t>
            </w:r>
          </w:p>
        </w:tc>
      </w:tr>
      <w:tr>
        <w:tc>
          <w:tcPr>
            <w:tcW w:type="dxa" w:w="2200"/>
          </w:tcPr>
          <w:p>
            <w:r>
              <w:t xml:space="preserve">SY - 0003</w:t>
            </w:r>
          </w:p>
        </w:tc>
        <w:tc>
          <w:tcPr>
            <w:tcW w:type="dxa" w:w="1800"/>
          </w:tcPr>
          <w:p>
            <w:r>
              <w:t xml:space="preserve">Depends on</w:t>
            </w:r>
          </w:p>
        </w:tc>
        <w:tc>
          <w:tcPr>
            <w:tcW w:type="dxa" w:w="5360"/>
          </w:tcPr>
          <w:p>
            <w:r>
              <w:t xml:space="preserve">Logs all manual edits to the reconciliation.</w:t>
            </w:r>
          </w:p>
        </w:tc>
      </w:tr>
      <w:tr>
        <w:tc>
          <w:tcPr>
            <w:tcW w:type="dxa" w:w="2200"/>
          </w:tcPr>
          <w:p>
            <w:r>
              <w:t xml:space="preserve">SE - 0002</w:t>
            </w:r>
          </w:p>
        </w:tc>
        <w:tc>
          <w:tcPr>
            <w:tcW w:type="dxa" w:w="1800"/>
          </w:tcPr>
          <w:p>
            <w:r>
              <w:t xml:space="preserve">Depends on</w:t>
            </w:r>
          </w:p>
        </w:tc>
        <w:tc>
          <w:tcPr>
            <w:tcW w:type="dxa" w:w="5360"/>
          </w:tcPr>
          <w:p>
            <w:r>
              <w:t xml:space="preserve">Role-based visibility into the reconciliation workpaper.</w:t>
            </w:r>
          </w:p>
        </w:tc>
      </w:tr>
    </w:tbl>
    <w:p>
      <w:pPr>
        <w:spacing w:after="150" w:before="300"/>
      </w:pPr>
      <w:r>
        <w:rPr>
          <w:b/>
          <w:bCs/>
          <w:color w:val="1F3864"/>
          <w:sz w:val="28"/>
          <w:szCs w:val="28"/>
        </w:rPr>
        <w:t xml:space="preserve">8. Out of Scope / Deferred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mapping of the tax return to the company's Chart of Accounts — belongs to QE-0002 (Full Tax Return Mapping), a separate future spec.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Non-US tax returns (e.g., Canadian returns) — deferred; v1 covers Form 1120, 1120-S, 1065, and Schedule C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Relying solely on the tax return's cash/accrual basis checkbox to determine whether an adjustment is needed — that checkbox is frequently incorrect, so the system tests balance-sheet-derived candidate adjustments against the actual gap regardless of the checkbox 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Structured, employee-level parsing of payroll data for officer compensation cross-checks — DR-0007 covers retrieval and static file storage only; structured parsing is a separate future feature.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QE-0015 Q&amp;A Generator engine itself — out of scope for this spec; referenced only as a related/coordinating dependency.</w:t>
      </w:r>
    </w:p>
    <w:p>
      <w:pPr>
        <w:spacing w:after="150" w:before="300"/>
      </w:pPr>
      <w:r>
        <w:rPr>
          <w:b/>
          <w:bCs/>
          <w:color w:val="1F3864"/>
          <w:sz w:val="28"/>
          <w:szCs w:val="28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interim threshold basis should apply before adjusted EBITDA/SDE (QE-0004) is available, given that figure is often not finalized until later in the engagement — percentage of tax return net income, a flat dollar default, or something else?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the reconciliation threshold be editable mid-engagement, and if changed, should it retroactively re-flag the status of already-reconciled fiscal years?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 initial fixed set of cash/accrual candidate adjustments (AR, customer deposits/deferred revenue, inventory, AP, non-taxable income, book tax expense) complete for v1, or should additional items (e.g., prepaid expenses, accrued liabilities) be included from the start?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should QE-0001's prepopulated clarifying questions ultimately relate to the QE-0015 Q&amp;A Generator once that engine is specced — should they remain a separate feed into the Q&amp;A module, or should QE-0001 become a consumer of the QE-0015 engine?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Schedule C returns where an individual has multiple businesses, does isolating the relevant Schedule C fully address the use case, or is a separate aggregation approach required?</w:t>
      </w:r>
    </w:p>
    <w:p>
      <w:pPr>
        <w:spacing w:after="150" w:before="300"/>
      </w:pPr>
      <w:r>
        <w:rPr>
          <w:b/>
          <w:bCs/>
          <w:color w:val="1F3864"/>
          <w:sz w:val="28"/>
          <w:szCs w:val="28"/>
        </w:rPr>
        <w:t xml:space="preserve">10.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a company with three fiscal years of GL data and matching tax returns loaded (Form 1120, 1120-S, 1065, or Schedule C), the system generates a reconciliation record per year showing tax return net/ordinary income and GL-based financial net income.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Officer compensation and book/tax depreciation reconciling lines are present on every generated reconciliation, defaulting to $0 when not applicable.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matches at least the M-1 items present on the loaded tax return to corresponding P&amp;L accounts where a plausible match exists, with each match displaying an explanatory hover note, and no matched item counts toward the reconciled total until accepted.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cash/accrual candidate adjustment shown equals the exact computed balance-sheet delta for its account and period, with no estimated or approximated values.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accountant can accept, reject, edit, or manually add any reconciling item, and the running total/variance recalculates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the running variance falls within the engagement's configured threshold, the reconciliation is marked Reconciled; otherwise it is marked Open and prepopulated questions are generated and routed to the Q&amp;A module.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manual additions and edits to the reconciliation are captured in the audit log with user, timestamp, and before/after values.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to the reconciliation workpaper respects role-based permissions and deal isolation as defined in Section 5.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95E02D-50AE-4975-8297-58EF33130F56}"/>
</file>

<file path=customXml/itemProps2.xml><?xml version="1.0" encoding="utf-8"?>
<ds:datastoreItem xmlns:ds="http://schemas.openxmlformats.org/officeDocument/2006/customXml" ds:itemID="{943F0B9D-146B-4EB8-B9AF-7435CB60B24A}"/>
</file>

<file path=customXml/itemProps3.xml><?xml version="1.0" encoding="utf-8"?>
<ds:datastoreItem xmlns:ds="http://schemas.openxmlformats.org/officeDocument/2006/customXml" ds:itemID="{4F5495CC-1AB8-48F8-85E1-D302C66A171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2026-08-15T03:54:06Z</dcterms:created>
  <dcterms:modified xsi:type="dcterms:W3CDTF">2026-08-15T03:54:06Z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