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CENTURIUUM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Feature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Feature ID</w:t>
            </w:r>
          </w:p>
        </w:tc>
        <w:tc>
          <w:tcPr>
            <w:tcW w:type="dxa" w:w="6560"/>
          </w:tcPr>
          <w:p>
            <w:r>
              <w:t xml:space="preserve">QE - 0007</w:t>
            </w:r>
          </w:p>
        </w:tc>
      </w:tr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Feature Name</w:t>
            </w:r>
          </w:p>
        </w:tc>
        <w:tc>
          <w:tcPr>
            <w:tcW w:type="dxa" w:w="6560"/>
          </w:tcPr>
          <w:p>
            <w:r>
              <w:t xml:space="preserve">Risk and Opportunities</w:t>
            </w:r>
          </w:p>
        </w:tc>
      </w:tr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560"/>
          </w:tcPr>
          <w:p>
            <w:r>
              <w:t xml:space="preserve">QE - Quality of Earnings</w:t>
            </w:r>
          </w:p>
        </w:tc>
      </w:tr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560"/>
          </w:tcPr>
          <w:p>
            <w:r>
              <w:t xml:space="preserve">Draft</w:t>
            </w:r>
          </w:p>
        </w:tc>
      </w:tr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Related / Recycled IDs</w:t>
            </w:r>
          </w:p>
        </w:tc>
        <w:tc>
          <w:tcPr>
            <w:tcW w:type="dxa" w:w="6560"/>
          </w:tcPr>
          <w:p>
            <w:r>
              <w:t xml:space="preserve">None</w:t>
            </w:r>
          </w:p>
        </w:tc>
      </w:tr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560"/>
          </w:tcPr>
          <w:p>
            <w:r>
              <w:t xml:space="preserve">Josh Tonnesen</w:t>
            </w:r>
          </w:p>
        </w:tc>
      </w:tr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560"/>
          </w:tcPr>
          <w:p>
            <w:r>
              <w:t xml:space="preserve">August 15, 2026</w:t>
            </w:r>
          </w:p>
        </w:tc>
      </w:tr>
    </w:tbl>
    <w:p>
      <w:pPr>
        <w:spacing w:after="200"/>
      </w:pP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1. Purpose &amp; Business Context</w:t>
      </w:r>
    </w:p>
    <w:p>
      <w:pPr>
        <w:spacing w:after="120"/>
      </w:pPr>
      <w:r>
        <w:t xml:space="preserve">The Risk and Opportunities section (housed on the Executive Summary tab per QE-0005) gives the QoE reviewer a single, curated place to capture the risks and opportunities identified during an engagement, sourced from Q&amp;A commentary, financial data patterns, and other qualitative or quantitative signals across the workbook. Rather than requiring the reviewer to manually re-read and summarize every Q&amp;A thread and financial schedule, the system uses AI to draft candidate risk and opportunity narratives from a deliberately narrow, scoped context (not a scan of the entire data room), which the reviewer then reviews, edits, and approves before anything is included in the client-facing deliverable. This gives buyers, sellers, and lenders a defensible, well-supported view of the deal's key qualitative issues, each traceable back to its underlying source via inline citation links.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reviewer (accountant), I want to click a button to generate AI-drafted risk and opportunity items based on Q&amp;A responses and financial data, so that I don't have to manually re-derive them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reviewer, I want AI to only draft items that are not already reflected on the list, so that I don't have to re-review duplicate suggestions every time I regenerate.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reviewer, I want to manually add my own risk or opportunity items, so that I can capture something I noticed independently of the AI's suggestions.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reviewer, I want to review, edit, approve, or reject each AI-drafted item individually, so that only vetted content reaches the deliverable.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reviewer, I want each item to link back to the specific Q&amp;A response or financial data point that supports it, so that anyone reading the report can drill in and see exactly where the commentary came from.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firm administrator, I want to set a firm-level default tone/style (e.g., more formal vs. more conversational) for generated narrative, so that all engagements start from a consistent house style.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an individual accountant, I want to override the firm's default tone/style setting for my own engagements, so that the output matches my personal drafting preference.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buyer or lender reviewing the deliverable, I want to see only approved risk and opportunity items, so that I'm not shown unvetted draft commentary.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display a Risk and Opportunities section within the Executive Summary tab (QE - 0005), organized as two lists: Risks and Opportunities.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store each risk/opportunity item as a free-form narrative text block (not a discrete structured record of severity/category fields), with support for one or more inline citation links embedded within the narrative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support inline citation links that reference a specific Q&amp;A item (QA - 0001 / QA - 0002) or a specific financial data point/account/period (DB - 0002 through DB - 0004, or a QE tab such as QE - 0009 Customer Concentration).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render inline citations as clickable links that navigate the user to the underlying source (the Q&amp;A thread or the relevant financial schedule) in click-through fashion.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provide a "Generate" action that, when clicked, invokes AI to draft new risk and/or opportunity items based on a scoped context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scoped context window for generation shall include, at minimum: Q&amp;A responses and their structured Module/Section/Account tags (per QA - 0002), the SDE/EBITDA adjustment detail (QE - 0004), and relevant quantitative flags from financial data (DB - 0002 through DB - 0004) — the system shall not run generation against the full data room or unscoped document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only generate items not already substantively represented on the current list (whether previously approved, rejected, or still pending), avoiding duplicate suggestions on repeated generation runs.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treat all AI-generated items as "Pending" upon generation; a pending item shall not appear in any exported or client-facing deliverable until a user explicitly approves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allow the reviewer to Approve, Reject, or Edit-then-Approve each pending item individually.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allow the reviewer to manually add a new risk or opportunity item directly (bypassing AI generation), with the same support for inline citation links as an AI-generated item.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allow the reviewer to edit or delete any item (AI-generated and approved, or manually added) at any time prior to final report 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Rejected items shall be retained in a hidden/collapsed state (not deleted) so that a future generation run does not re-suggest the same item, and so the reviewer has an audit trail of what was considered and dismissed.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support a configurable tone/style/verbosity setting (e.g., concise vs. wordy, casual vs. formal) with a firm-level default and an optional user-level override for AI-generated narrative drafting.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apply the user's override setting when present, falling back to the firm default otherwise, and shall apply a system-defined default (documented as the platform's baseline style) when neither is configured.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use "the company" terminology (never "the seller") in all AI-generated and template-provided narrative text, consistent with platform-wide QoE terminology conventions.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log every generation event (who initiated, when, which items were produced) and every approval/rejection/edit event to the platform Activity &amp; Audit Log (SY - 0003).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meter each AI generation call against the platform's AI usage metering (SY - 0001).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include only Approved items in any exported workbook (QE - 0013), PowerPoint deck (QE - 0014 / CM - 0001), or Valuation Summary commentary pull (VL - 0005).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4.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c>
          <w:tcPr>
            <w:tcW w:type="dxa" w:w="5200"/>
            <w:shd w:fill="D9D9D9" w:val="clear"/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Read/Write</w:t>
            </w:r>
          </w:p>
        </w:tc>
        <w:tc>
          <w:tcPr>
            <w:tcW w:type="dxa" w:w="2760"/>
            <w:shd w:fill="D9D9D9" w:val="clear"/>
          </w:tcPr>
          <w:p>
            <w:r>
              <w:rPr>
                <w:b/>
                <w:bCs/>
              </w:rPr>
              <w:t xml:space="preserve">Source / Destination</w:t>
            </w:r>
          </w:p>
        </w:tc>
      </w:tr>
      <w:tr>
        <w:tc>
          <w:tcPr>
            <w:tcW w:type="dxa" w:w="5200"/>
          </w:tcPr>
          <w:p>
            <w:r>
              <w:t xml:space="preserve">Risk/Opportunity Item (narrative text, rich text)</w:t>
            </w:r>
          </w:p>
        </w:tc>
        <w:tc>
          <w:tcPr>
            <w:tcW w:type="dxa" w:w="1400"/>
          </w:tcPr>
          <w:p>
            <w:r>
              <w:t xml:space="preserve">Read/Write</w:t>
            </w:r>
          </w:p>
        </w:tc>
        <w:tc>
          <w:tcPr>
            <w:tcW w:type="dxa" w:w="2760"/>
          </w:tcPr>
          <w:p>
            <w:r>
              <w:t xml:space="preserve">QE - 0007 native table</w:t>
            </w:r>
          </w:p>
        </w:tc>
      </w:tr>
      <w:tr>
        <w:tc>
          <w:tcPr>
            <w:tcW w:type="dxa" w:w="5200"/>
          </w:tcPr>
          <w:p>
            <w:r>
              <w:t xml:space="preserve">Item Status (AI-Suggested / Approved / Rejected / Manually Added)</w:t>
            </w:r>
          </w:p>
        </w:tc>
        <w:tc>
          <w:tcPr>
            <w:tcW w:type="dxa" w:w="1400"/>
          </w:tcPr>
          <w:p>
            <w:r>
              <w:t xml:space="preserve">Read/Write</w:t>
            </w:r>
          </w:p>
        </w:tc>
        <w:tc>
          <w:tcPr>
            <w:tcW w:type="dxa" w:w="2760"/>
          </w:tcPr>
          <w:p>
            <w:r>
              <w:t xml:space="preserve">QE - 0007 native table</w:t>
            </w:r>
          </w:p>
        </w:tc>
      </w:tr>
      <w:tr>
        <w:tc>
          <w:tcPr>
            <w:tcW w:type="dxa" w:w="5200"/>
          </w:tcPr>
          <w:p>
            <w:r>
              <w:t xml:space="preserve">Item Type (Risk / Opportunity)</w:t>
            </w:r>
          </w:p>
        </w:tc>
        <w:tc>
          <w:tcPr>
            <w:tcW w:type="dxa" w:w="1400"/>
          </w:tcPr>
          <w:p>
            <w:r>
              <w:t xml:space="preserve">Read/Write</w:t>
            </w:r>
          </w:p>
        </w:tc>
        <w:tc>
          <w:tcPr>
            <w:tcW w:type="dxa" w:w="2760"/>
          </w:tcPr>
          <w:p>
            <w:r>
              <w:t xml:space="preserve">QE - 0007 native table</w:t>
            </w:r>
          </w:p>
        </w:tc>
      </w:tr>
      <w:tr>
        <w:tc>
          <w:tcPr>
            <w:tcW w:type="dxa" w:w="5200"/>
          </w:tcPr>
          <w:p>
            <w:r>
              <w:t xml:space="preserve">Inline Citation Links (Q&amp;A reference IDs)</w:t>
            </w:r>
          </w:p>
        </w:tc>
        <w:tc>
          <w:tcPr>
            <w:tcW w:type="dxa" w:w="1400"/>
          </w:tcPr>
          <w:p>
            <w:r>
              <w:t xml:space="preserve">Read</w:t>
            </w:r>
          </w:p>
        </w:tc>
        <w:tc>
          <w:tcPr>
            <w:tcW w:type="dxa" w:w="2760"/>
          </w:tcPr>
          <w:p>
            <w:r>
              <w:t xml:space="preserve">QA - 0001, QA - 0002</w:t>
            </w:r>
          </w:p>
        </w:tc>
      </w:tr>
      <w:tr>
        <w:tc>
          <w:tcPr>
            <w:tcW w:type="dxa" w:w="5200"/>
          </w:tcPr>
          <w:p>
            <w:r>
              <w:t xml:space="preserve">Inline Citation Links (financial data reference, e.g. account/period)</w:t>
            </w:r>
          </w:p>
        </w:tc>
        <w:tc>
          <w:tcPr>
            <w:tcW w:type="dxa" w:w="1400"/>
          </w:tcPr>
          <w:p>
            <w:r>
              <w:t xml:space="preserve">Read</w:t>
            </w:r>
          </w:p>
        </w:tc>
        <w:tc>
          <w:tcPr>
            <w:tcW w:type="dxa" w:w="2760"/>
          </w:tcPr>
          <w:p>
            <w:r>
              <w:t xml:space="preserve">DB - 0002, DB - 0003, DB - 0004</w:t>
            </w:r>
          </w:p>
        </w:tc>
      </w:tr>
      <w:tr>
        <w:tc>
          <w:tcPr>
            <w:tcW w:type="dxa" w:w="5200"/>
          </w:tcPr>
          <w:p>
            <w:r>
              <w:t xml:space="preserve">SDE/EBITDA Adjustment Detail (for context scoping, not displayed)</w:t>
            </w:r>
          </w:p>
        </w:tc>
        <w:tc>
          <w:tcPr>
            <w:tcW w:type="dxa" w:w="1400"/>
          </w:tcPr>
          <w:p>
            <w:r>
              <w:t xml:space="preserve">Read</w:t>
            </w:r>
          </w:p>
        </w:tc>
        <w:tc>
          <w:tcPr>
            <w:tcW w:type="dxa" w:w="2760"/>
          </w:tcPr>
          <w:p>
            <w:r>
              <w:t xml:space="preserve">QE - 0004</w:t>
            </w:r>
          </w:p>
        </w:tc>
      </w:tr>
      <w:tr>
        <w:tc>
          <w:tcPr>
            <w:tcW w:type="dxa" w:w="5200"/>
          </w:tcPr>
          <w:p>
            <w:r>
              <w:t xml:space="preserve">Working Capital Commentary (for context scoping)</w:t>
            </w:r>
          </w:p>
        </w:tc>
        <w:tc>
          <w:tcPr>
            <w:tcW w:type="dxa" w:w="1400"/>
          </w:tcPr>
          <w:p>
            <w:r>
              <w:t xml:space="preserve">Read</w:t>
            </w:r>
          </w:p>
        </w:tc>
        <w:tc>
          <w:tcPr>
            <w:tcW w:type="dxa" w:w="2760"/>
          </w:tcPr>
          <w:p>
            <w:r>
              <w:t xml:space="preserve">QE - 0006</w:t>
            </w:r>
          </w:p>
        </w:tc>
      </w:tr>
      <w:tr>
        <w:tc>
          <w:tcPr>
            <w:tcW w:type="dxa" w:w="5200"/>
          </w:tcPr>
          <w:p>
            <w:r>
              <w:t xml:space="preserve">Customer Concentration Data (for context scoping)</w:t>
            </w:r>
          </w:p>
        </w:tc>
        <w:tc>
          <w:tcPr>
            <w:tcW w:type="dxa" w:w="1400"/>
          </w:tcPr>
          <w:p>
            <w:r>
              <w:t xml:space="preserve">Read</w:t>
            </w:r>
          </w:p>
        </w:tc>
        <w:tc>
          <w:tcPr>
            <w:tcW w:type="dxa" w:w="2760"/>
          </w:tcPr>
          <w:p>
            <w:r>
              <w:t xml:space="preserve">QE - 0009</w:t>
            </w:r>
          </w:p>
        </w:tc>
      </w:tr>
      <w:tr>
        <w:tc>
          <w:tcPr>
            <w:tcW w:type="dxa" w:w="5200"/>
          </w:tcPr>
          <w:p>
            <w:r>
              <w:t xml:space="preserve">Style/Tone Configuration - Firm Default</w:t>
            </w:r>
          </w:p>
        </w:tc>
        <w:tc>
          <w:tcPr>
            <w:tcW w:type="dxa" w:w="1400"/>
          </w:tcPr>
          <w:p>
            <w:r>
              <w:t xml:space="preserve">Read</w:t>
            </w:r>
          </w:p>
        </w:tc>
        <w:tc>
          <w:tcPr>
            <w:tcW w:type="dxa" w:w="2760"/>
          </w:tcPr>
          <w:p>
            <w:r>
              <w:t xml:space="preserve">SE - 0001 (firm-level settings)</w:t>
            </w:r>
          </w:p>
        </w:tc>
      </w:tr>
      <w:tr>
        <w:tc>
          <w:tcPr>
            <w:tcW w:type="dxa" w:w="5200"/>
          </w:tcPr>
          <w:p>
            <w:r>
              <w:t xml:space="preserve">Style/Tone Configuration - User Override</w:t>
            </w:r>
          </w:p>
        </w:tc>
        <w:tc>
          <w:tcPr>
            <w:tcW w:type="dxa" w:w="1400"/>
          </w:tcPr>
          <w:p>
            <w:r>
              <w:t xml:space="preserve">Read</w:t>
            </w:r>
          </w:p>
        </w:tc>
        <w:tc>
          <w:tcPr>
            <w:tcW w:type="dxa" w:w="2760"/>
          </w:tcPr>
          <w:p>
            <w:r>
              <w:t xml:space="preserve">US - 0004 (accountant profile settings)</w:t>
            </w:r>
          </w:p>
        </w:tc>
      </w:tr>
      <w:tr>
        <w:tc>
          <w:tcPr>
            <w:tcW w:type="dxa" w:w="5200"/>
          </w:tcPr>
          <w:p>
            <w:r>
              <w:t xml:space="preserve">Generation Event (who generated, when, which items produced)</w:t>
            </w:r>
          </w:p>
        </w:tc>
        <w:tc>
          <w:tcPr>
            <w:tcW w:type="dxa" w:w="1400"/>
          </w:tcPr>
          <w:p>
            <w:r>
              <w:t xml:space="preserve">Write</w:t>
            </w:r>
          </w:p>
        </w:tc>
        <w:tc>
          <w:tcPr>
            <w:tcW w:type="dxa" w:w="2760"/>
          </w:tcPr>
          <w:p>
            <w:r>
              <w:t xml:space="preserve">SY - 0003 Activity &amp; Audit Log</w:t>
            </w:r>
          </w:p>
        </w:tc>
      </w:tr>
      <w:tr>
        <w:tc>
          <w:tcPr>
            <w:tcW w:type="dxa" w:w="5200"/>
          </w:tcPr>
          <w:p>
            <w:r>
              <w:t xml:space="preserve">Approval/Rejection Event (who approved/rejected, when)</w:t>
            </w:r>
          </w:p>
        </w:tc>
        <w:tc>
          <w:tcPr>
            <w:tcW w:type="dxa" w:w="1400"/>
          </w:tcPr>
          <w:p>
            <w:r>
              <w:t xml:space="preserve">Write</w:t>
            </w:r>
          </w:p>
        </w:tc>
        <w:tc>
          <w:tcPr>
            <w:tcW w:type="dxa" w:w="2760"/>
          </w:tcPr>
          <w:p>
            <w:r>
              <w:t xml:space="preserve">SY - 0003 Activity &amp; Audit Log</w:t>
            </w:r>
          </w:p>
        </w:tc>
      </w:tr>
    </w:tbl>
    <w:p>
      <w:pPr>
        <w:spacing w:after="100"/>
      </w:pP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 with access: Accountant/QoE reviewer (full read/write — generate, add, edit, approve, reject), Broker (read-only view of approved items, per deal permission grant), Company/Seller (read-only view of approved items, if and where the broker has granted visibility per SE - 0002).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 explicitly excluded: Buyer and Bank users see only Approved items surfaced through downstream deliverables (e.g., CIM, valuation summary) they have been granted access to — they do not have direct access to the QE - 0007 working tab, pending items, or rejected items.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users with QoE reviewer-level access (or higher) may trigger AI generation, approve, or reject items; view-only roles cannot alter item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 isolation confirmed: this feature is scoped to a single company/deal only. No cross-deal or cross-company visibility of data, documents, or search results. AI generation context is limited strictly to the current deal's Q&amp;A and financial data.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Platform: Web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Wireframe reference: N/A (referencing Josh's Cloud project file structure stored in SharePoint as the design basis — to be linked once available).</w:t>
      </w:r>
    </w:p>
    <w:p>
      <w:pPr>
        <w:spacing w:after="120"/>
      </w:pPr>
      <w:r>
        <w:t xml:space="preserve">The section presents two columns or stacked lists — Risks and Opportunities — each showing narrative-block items with inline citation links rendered as clickable text within the paragraph. Pending (AI-generated, unapproved) items are visually distinguished from Approved items (e.g., a "Pending" badge or highlighted background) so the reviewer never confuses draft content with finalized content. A single "Generate" button triggers AI drafting; a per-item action row (Approve / Reject / Edit) appears on each pending item. A "+ Add Item" control supports manual entry. Rejected items are collapsed by default under a "Dismissed" toggle rather than shown inline with active items.</w:t>
      </w:r>
    </w:p>
    <w:p>
      <w:pPr>
        <w:spacing w:after="120"/>
      </w:pPr>
      <w:r>
        <w:t xml:space="preserve">Tone/style configuration is exposed as a settings control at the firm level (administrator settings, likely under SE - 0001 firm profile settings) and as a personal override at the individual user level (accountant profile, US - 0004), with the default clearly indicated as the well-supported system starting point (per Josh's direction) when neither is customized.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7.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Related Feature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516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t xml:space="preserve">QA - 0001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User-based tracking of Q&amp;A requestor/requestee needed for citation attribution and traceability of source commentary.</w:t>
            </w:r>
          </w:p>
        </w:tc>
      </w:tr>
      <w:tr>
        <w:tc>
          <w:tcPr>
            <w:tcW w:type="dxa" w:w="2400"/>
          </w:tcPr>
          <w:p>
            <w:r>
              <w:t xml:space="preserve">QA - 0002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Q&amp;A linking architecture (structured Module/Section/Account tagging) is the mechanism this feature relies on to scope Q&amp;A context and generate inline citation links.</w:t>
            </w:r>
          </w:p>
        </w:tc>
      </w:tr>
      <w:tr>
        <w:tc>
          <w:tcPr>
            <w:tcW w:type="dxa" w:w="2400"/>
          </w:tcPr>
          <w:p>
            <w:r>
              <w:t xml:space="preserve">QE - 0004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SDE/EBITDA adjustment detail is a primary quantitative input to the context window used for AI-generated risk/opportunity drafting.</w:t>
            </w:r>
          </w:p>
        </w:tc>
      </w:tr>
      <w:tr>
        <w:tc>
          <w:tcPr>
            <w:tcW w:type="dxa" w:w="2400"/>
          </w:tcPr>
          <w:p>
            <w:r>
              <w:t xml:space="preserve">QE - 0006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Working capital commentary is a scoped input source for risk/opportunity generation.</w:t>
            </w:r>
          </w:p>
        </w:tc>
      </w:tr>
      <w:tr>
        <w:tc>
          <w:tcPr>
            <w:tcW w:type="dxa" w:w="2400"/>
          </w:tcPr>
          <w:p>
            <w:r>
              <w:t xml:space="preserve">QE - 0009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Customer concentration data is a scoped input source (e.g., customer concentration risk items) for generation.</w:t>
            </w:r>
          </w:p>
        </w:tc>
      </w:tr>
      <w:tr>
        <w:tc>
          <w:tcPr>
            <w:tcW w:type="dxa" w:w="2400"/>
          </w:tcPr>
          <w:p>
            <w:r>
              <w:t xml:space="preserve">QE - 0005</w:t>
            </w:r>
          </w:p>
        </w:tc>
        <w:tc>
          <w:tcPr>
            <w:tcW w:type="dxa" w:w="1800"/>
          </w:tcPr>
          <w:p>
            <w:r>
              <w:t xml:space="preserve">Related</w:t>
            </w:r>
          </w:p>
        </w:tc>
        <w:tc>
          <w:tcPr>
            <w:tcW w:type="dxa" w:w="5160"/>
          </w:tcPr>
          <w:p>
            <w:r>
              <w:t xml:space="preserve">Executive Summary/Tracker houses this feature's tab; Risk and Opportunities is a sub-section of the Executive Summary area.</w:t>
            </w:r>
          </w:p>
        </w:tc>
      </w:tr>
      <w:tr>
        <w:tc>
          <w:tcPr>
            <w:tcW w:type="dxa" w:w="2400"/>
          </w:tcPr>
          <w:p>
            <w:r>
              <w:t xml:space="preserve">DB - 0002 / DB - 0003 / DB - 0004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Financial data (GL, COA, Trial Balance) is a scoped input source for identifying quantitative risk/opportunity flags.</w:t>
            </w:r>
          </w:p>
        </w:tc>
      </w:tr>
      <w:tr>
        <w:tc>
          <w:tcPr>
            <w:tcW w:type="dxa" w:w="2400"/>
          </w:tcPr>
          <w:p>
            <w:r>
              <w:t xml:space="preserve">VL - 0005</w:t>
            </w:r>
          </w:p>
        </w:tc>
        <w:tc>
          <w:tcPr>
            <w:tcW w:type="dxa" w:w="1800"/>
          </w:tcPr>
          <w:p>
            <w:r>
              <w:t xml:space="preserve">Blocks</w:t>
            </w:r>
          </w:p>
        </w:tc>
        <w:tc>
          <w:tcPr>
            <w:tcW w:type="dxa" w:w="5160"/>
          </w:tcPr>
          <w:p>
            <w:r>
              <w:t xml:space="preserve">Valuation Summary / Football Field pulls a risk and opportunity commentary section from this feature to explain positioning within the concluded value range.</w:t>
            </w:r>
          </w:p>
        </w:tc>
      </w:tr>
      <w:tr>
        <w:tc>
          <w:tcPr>
            <w:tcW w:type="dxa" w:w="2400"/>
          </w:tcPr>
          <w:p>
            <w:r>
              <w:t xml:space="preserve">SE - 0001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Firm-level profile/settings framework is where the firm-default tone/style configuration is expected to live.</w:t>
            </w:r>
          </w:p>
        </w:tc>
      </w:tr>
      <w:tr>
        <w:tc>
          <w:tcPr>
            <w:tcW w:type="dxa" w:w="2400"/>
          </w:tcPr>
          <w:p>
            <w:r>
              <w:t xml:space="preserve">SY - 0001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AI metering must account for AI-generated draft calls from this feature.</w:t>
            </w:r>
          </w:p>
        </w:tc>
      </w:tr>
      <w:tr>
        <w:tc>
          <w:tcPr>
            <w:tcW w:type="dxa" w:w="2400"/>
          </w:tcPr>
          <w:p>
            <w:r>
              <w:t xml:space="preserve">SY - 0003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All generation, approval, and rejection actions must write to the platform Activity &amp; Audit Log.</w:t>
            </w:r>
          </w:p>
        </w:tc>
      </w:tr>
      <w:tr>
        <w:tc>
          <w:tcPr>
            <w:tcW w:type="dxa" w:w="2400"/>
          </w:tcPr>
          <w:p>
            <w:r>
              <w:t xml:space="preserve">Notifications Hub (cross-cutting gap)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160"/>
          </w:tcPr>
          <w:p>
            <w:r>
              <w:t xml:space="preserve">No dedicated feature ID yet. Needed to notify the QoE reviewer when new AI-generated items are pending approval.</w:t>
            </w:r>
          </w:p>
        </w:tc>
      </w:tr>
    </w:tbl>
    <w:p>
      <w:pPr>
        <w:spacing w:after="100"/>
      </w:pP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Structured/tagged risk categorization (e.g., a fixed taxonomy of risk categories or severity scoring) is out of scope for this version — items are free-form narrative only. A future spec may revisit structured tagging if reporting or analytics needs emerge.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scanning of the full, unscoped data room or all uploaded documents is explicitly out of scope — generation is limited to the defined context window (Q&amp;A, financial data, related QoE tabs) described in Section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 real-time collaborative editing of items (e.g., simultaneous editing by two reviewers) is deferred; standard single-editor-at-a-time behavior is assumed for this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dedicated notification alerting the reviewer that new pending items are ready is dependent on the platform Notifications Hub (cross-cutting gap, no feature ID yet) and is not designed locally within this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Firm-level and user-level tone/style configuration UI itself (the settings screen where these preferences are set) is assumed to live within SE - 0001 / US - 0004 profile settings, not built as a standalone control within this feature.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does the "well-supported" system default tone/style actually consist of (e.g., a specific reading level, sentence length, or voice)? Josh's Cloud project file in SharePoint is referenced as the intended structure/basis for this default — needs to be reviewed and translated into a concrete default prompt/style specification before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Rejected items be permanently excluded from future generation, or should there be a mechanism to "un-reject" / resurface an item if circumstances change later in the engagement?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limit on how many items can be generated per click (e.g., top 5 candidate items per run), or does the system return all items it identifies within the scoped context in a single pass?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approved items support versioning/edit history (e.g., if a reviewer edits an already-approved item, should the prior approved version be retained), or is a single current-state edit sufficient for this version?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should the system behave if the same underlying fact could support both a risk and an opportunity framing (e.g., customer concentration flagged as a risk, but also framed as an opportunity for buyer relationship expansion) — should generation surface both, or must the reviewer add the second framing manually?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Notifications Hub is a known cross-cutting gap (see Section 8) — when it is specced, should it push a notification to the reviewer every time a generation run produces new pending items, or only on a digest/summary basis?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Clicking Generate produces only new AI-drafted risk/opportunity items not already reflected among existing pending, approved, or rejected items on the current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Newly generated items are marked Pending and do not appear in any exported deliverable (workbook, PPT, valuation summary) until explicitly approved.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reviewer can manually add a risk or opportunity item with the same citation-linking capability as an AI-generated item.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item supports at least one inline citation link that, when clicked, navigates the user to the specific underlying Q&amp;A response or financial data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firm-level default tone/style setting is applied to generated narrative when no user-level override exists; a user-level override, when set, takes precedence for that user's generation runs.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Rejecting an item removes it from the active list view but prevents it from being re-suggested on a subsequent Generate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generation, approval, rejection, and edit actions are recorded in the platform Activity &amp; Audit Log (SY - 0003) with user, timestamp, and action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Approved items are visible to Broker and Company/Seller roles and are the only items pulled into downstream deliverables (QE - 0013, QE - 0014/CM - 0001, VL - 0005).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0207C6-ABCB-4844-93EB-A7640E9CF282}"/>
</file>

<file path=customXml/itemProps2.xml><?xml version="1.0" encoding="utf-8"?>
<ds:datastoreItem xmlns:ds="http://schemas.openxmlformats.org/officeDocument/2006/customXml" ds:itemID="{4620A3A0-A0E4-444D-9BB8-333D485D531A}"/>
</file>

<file path=customXml/itemProps3.xml><?xml version="1.0" encoding="utf-8"?>
<ds:datastoreItem xmlns:ds="http://schemas.openxmlformats.org/officeDocument/2006/customXml" ds:itemID="{170E7563-729F-44D0-8A7D-32F94312D1D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2026-08-15T04:40:42Z</dcterms:created>
  <dcterms:modified xsi:type="dcterms:W3CDTF">2026-08-15T04:40:42Z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