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32"/>
          <w:szCs w:val="32"/>
        </w:rPr>
        <w:t xml:space="preserve">CENTURIUUM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Feature Specification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9D9D9" w:color="auto" w:val="clear"/>
          </w:tcPr>
          <w:p>
            <w:r>
              <w:rPr>
                <w:b/>
                <w:bCs/>
              </w:rPr>
              <w:t xml:space="preserve">Feature ID</w:t>
            </w:r>
          </w:p>
        </w:tc>
        <w:tc>
          <w:tcPr>
            <w:tcW w:type="dxa" w:w="7000"/>
          </w:tcPr>
          <w:p>
            <w:r>
              <w:t xml:space="preserve">QE - 0012</w:t>
            </w:r>
          </w:p>
        </w:tc>
      </w:tr>
      <w:tr>
        <w:tc>
          <w:tcPr>
            <w:tcW w:type="dxa" w:w="2500"/>
            <w:shd w:fill="D9D9D9" w:color="auto" w:val="clear"/>
          </w:tcPr>
          <w:p>
            <w:r>
              <w:rPr>
                <w:b/>
                <w:bCs/>
              </w:rPr>
              <w:t xml:space="preserve">Feature Name</w:t>
            </w:r>
          </w:p>
        </w:tc>
        <w:tc>
          <w:tcPr>
            <w:tcW w:type="dxa" w:w="7000"/>
          </w:tcPr>
          <w:p>
            <w:r>
              <w:t xml:space="preserve">AP Aging Analysis</w:t>
            </w:r>
          </w:p>
        </w:tc>
      </w:tr>
      <w:tr>
        <w:tc>
          <w:tcPr>
            <w:tcW w:type="dxa" w:w="2500"/>
            <w:shd w:fill="D9D9D9" w:color="auto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7000"/>
          </w:tcPr>
          <w:p>
            <w:r>
              <w:t xml:space="preserve">QE - Quality of Earnings</w:t>
            </w:r>
          </w:p>
        </w:tc>
      </w:tr>
      <w:tr>
        <w:tc>
          <w:tcPr>
            <w:tcW w:type="dxa" w:w="2500"/>
            <w:shd w:fill="D9D9D9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000"/>
          </w:tcPr>
          <w:p>
            <w:r>
              <w:t xml:space="preserve">Draft</w:t>
            </w:r>
          </w:p>
        </w:tc>
      </w:tr>
      <w:tr>
        <w:tc>
          <w:tcPr>
            <w:tcW w:type="dxa" w:w="2500"/>
            <w:shd w:fill="D9D9D9" w:color="auto" w:val="clear"/>
          </w:tcPr>
          <w:p>
            <w:r>
              <w:rPr>
                <w:b/>
                <w:bCs/>
              </w:rPr>
              <w:t xml:space="preserve">Related / Recycled IDs</w:t>
            </w:r>
          </w:p>
        </w:tc>
        <w:tc>
          <w:tcPr>
            <w:tcW w:type="dxa" w:w="7000"/>
          </w:tcPr>
          <w:p>
            <w:r>
              <w:t xml:space="preserve">None</w:t>
            </w:r>
          </w:p>
        </w:tc>
      </w:tr>
      <w:tr>
        <w:tc>
          <w:tcPr>
            <w:tcW w:type="dxa" w:w="2500"/>
            <w:shd w:fill="D9D9D9" w:color="auto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7000"/>
          </w:tcPr>
          <w:p>
            <w:r>
              <w:t xml:space="preserve">Josh Tonnesen</w:t>
            </w:r>
          </w:p>
        </w:tc>
      </w:tr>
      <w:tr>
        <w:tc>
          <w:tcPr>
            <w:tcW w:type="dxa" w:w="2500"/>
            <w:shd w:fill="D9D9D9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</w:tcPr>
          <w:p>
            <w:r>
              <w:t xml:space="preserve">August 15, 2026</w:t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 Purpose &amp; Business Context</w:t>
      </w:r>
    </w:p>
    <w:p>
      <w:pPr>
        <w:spacing w:after="120"/>
      </w:pPr>
      <w:r>
        <w:t xml:space="preserve">Accounts payable aging is a standard part of a Quality of Earnings review, used to assess whether the company is managing vendor payments normally or stretching payables to artificially improve reported cash flow near a transaction. This feature adds a simple AP Aging tab within the QoE module that presents the company's uploaded AP aging data in standard aging buckets, at the vendor level, with a small set of automatically calculated flags to draw the reviewer's attention to outliers. It is intentionally a simple, presentation-first build: no manual adjustments, workpaper linking, or narrative authoring are in scope for this version.</w:t>
      </w:r>
    </w:p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reviewer (accountant), I want to see the company's AP aging broken out by standard aging buckets and by vendor, so that I can quickly assess payables health without manually rebuilding the schedule from a source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QoE reviewer, I want the system to flag vendor concentration and aged balances automatically, so that I know where to focus my review without recalculating totals by hand.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broker or deal team member, I want the ability to turn the AP Aging tab on or off for a given engagement, so that it only appears when it's relevant to the scope of work.</w:t>
      </w:r>
    </w:p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allow a user to upload an AP aging report as part of the standard data upload process (via DR-0001 Data Room).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extract vendor, invoice/bill number, invoice date, and invoice amount/balance due from the uploaded AP aging report into a structured AP Aging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calculate an aging bucket for each line item using standardized buckets: Current, 1-30, 31-60, 61-90, and 90+ days, based on invoice date relative to the report's as-of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display a summary view showing total AP by aging bucket.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display a vendor detail view showing total AP by vendor, with a drill-down to bucket-level detail per vendor.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calculate and display a vendor concentration flag showing the top vendor and top 5 vendors as a percentage of total 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calculate and display the percentage of total AP balance aged over 90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visually flag (e.g., highlight or badge) any vendor concentration or aged-balance percentage that exceeds a configurable threshold.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allow an authorized user to toggle the AP Aging tab on or off for a given engagement; when off, the tab shall not appear in the QoE module navigation for that engagement.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display an empty state within the tab (when toggled on) if no AP aging report has been uploaded yet, with a prompt to upload.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shall support re-upload of a new or corrected AP aging report, creating a new version per the platform's standard versioning convention rather than overwriting prior data.</w:t>
      </w:r>
    </w:p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4. Data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00"/>
      </w:tblGrid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</w:rPr>
              <w:t xml:space="preserve">Read/Write</w:t>
            </w:r>
          </w:p>
        </w:tc>
        <w:tc>
          <w:tcPr>
            <w:tcW w:type="dxa" w:w="5000"/>
            <w:shd w:fill="D9D9D9" w:color="auto" w:val="clear"/>
          </w:tcPr>
          <w:p>
            <w:r>
              <w:rPr>
                <w:b/>
                <w:bCs/>
              </w:rPr>
              <w:t xml:space="preserve">Source / Destination</w:t>
            </w:r>
          </w:p>
        </w:tc>
      </w:tr>
      <w:tr>
        <w:tc>
          <w:tcPr>
            <w:tcW w:type="dxa" w:w="3000"/>
          </w:tcPr>
          <w:p>
            <w:r>
              <w:t xml:space="preserve">AP Aging Report (source file)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5000"/>
          </w:tcPr>
          <w:p>
            <w:r>
              <w:t xml:space="preserve">DR-0001 Data Room (uploaded AP aging report document)</w:t>
            </w:r>
          </w:p>
        </w:tc>
      </w:tr>
      <w:tr>
        <w:tc>
          <w:tcPr>
            <w:tcW w:type="dxa" w:w="3000"/>
          </w:tcPr>
          <w:p>
            <w:r>
              <w:t xml:space="preserve">Vendor name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5000"/>
          </w:tcPr>
          <w:p>
            <w:r>
              <w:t xml:space="preserve">Extracted from uploaded AP aging report</w:t>
            </w:r>
          </w:p>
        </w:tc>
      </w:tr>
      <w:tr>
        <w:tc>
          <w:tcPr>
            <w:tcW w:type="dxa" w:w="3000"/>
          </w:tcPr>
          <w:p>
            <w:r>
              <w:t xml:space="preserve">Invoice/bill number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5000"/>
          </w:tcPr>
          <w:p>
            <w:r>
              <w:t xml:space="preserve">Extracted from uploaded AP aging report</w:t>
            </w:r>
          </w:p>
        </w:tc>
      </w:tr>
      <w:tr>
        <w:tc>
          <w:tcPr>
            <w:tcW w:type="dxa" w:w="3000"/>
          </w:tcPr>
          <w:p>
            <w:r>
              <w:t xml:space="preserve">Invoice date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5000"/>
          </w:tcPr>
          <w:p>
            <w:r>
              <w:t xml:space="preserve">Extracted from uploaded AP aging report</w:t>
            </w:r>
          </w:p>
        </w:tc>
      </w:tr>
      <w:tr>
        <w:tc>
          <w:tcPr>
            <w:tcW w:type="dxa" w:w="3000"/>
          </w:tcPr>
          <w:p>
            <w:r>
              <w:t xml:space="preserve">Invoice amount / balance due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5000"/>
          </w:tcPr>
          <w:p>
            <w:r>
              <w:t xml:space="preserve">Extracted from uploaded AP aging report</w:t>
            </w:r>
          </w:p>
        </w:tc>
      </w:tr>
      <w:tr>
        <w:tc>
          <w:tcPr>
            <w:tcW w:type="dxa" w:w="3000"/>
          </w:tcPr>
          <w:p>
            <w:r>
              <w:t xml:space="preserve">Aging bucket (Current / 1-30 / 31-60 / 61-90 / 90+)</w:t>
            </w:r>
          </w:p>
        </w:tc>
        <w:tc>
          <w:tcPr>
            <w:tcW w:type="dxa" w:w="1500"/>
          </w:tcPr>
          <w:p>
            <w:r>
              <w:t xml:space="preserve">Read/Write</w:t>
            </w:r>
          </w:p>
        </w:tc>
        <w:tc>
          <w:tcPr>
            <w:tcW w:type="dxa" w:w="5000"/>
          </w:tcPr>
          <w:p>
            <w:r>
              <w:t xml:space="preserve">System-calculated at extraction from invoice date vs. as-of date</w:t>
            </w:r>
          </w:p>
        </w:tc>
      </w:tr>
      <w:tr>
        <w:tc>
          <w:tcPr>
            <w:tcW w:type="dxa" w:w="3000"/>
          </w:tcPr>
          <w:p>
            <w:r>
              <w:t xml:space="preserve">AP Aging Table (structured)</w:t>
            </w:r>
          </w:p>
        </w:tc>
        <w:tc>
          <w:tcPr>
            <w:tcW w:type="dxa" w:w="1500"/>
          </w:tcPr>
          <w:p>
            <w:r>
              <w:t xml:space="preserve">Read/Write</w:t>
            </w:r>
          </w:p>
        </w:tc>
        <w:tc>
          <w:tcPr>
            <w:tcW w:type="dxa" w:w="5000"/>
          </w:tcPr>
          <w:p>
            <w:r>
              <w:t xml:space="preserve">New table, parsed on upload; follows DB-0009 (Bank Statement Table) structural pattern</w:t>
            </w:r>
          </w:p>
        </w:tc>
      </w:tr>
      <w:tr>
        <w:tc>
          <w:tcPr>
            <w:tcW w:type="dxa" w:w="3000"/>
          </w:tcPr>
          <w:p>
            <w:r>
              <w:t xml:space="preserve">Total AP by bucket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5000"/>
          </w:tcPr>
          <w:p>
            <w:r>
              <w:t xml:space="preserve">Calculated from AP Aging Table</w:t>
            </w:r>
          </w:p>
        </w:tc>
      </w:tr>
      <w:tr>
        <w:tc>
          <w:tcPr>
            <w:tcW w:type="dxa" w:w="3000"/>
          </w:tcPr>
          <w:p>
            <w:r>
              <w:t xml:space="preserve">Total AP by vendor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5000"/>
          </w:tcPr>
          <w:p>
            <w:r>
              <w:t xml:space="preserve">Calculated from AP Aging Table</w:t>
            </w:r>
          </w:p>
        </w:tc>
      </w:tr>
      <w:tr>
        <w:tc>
          <w:tcPr>
            <w:tcW w:type="dxa" w:w="3000"/>
          </w:tcPr>
          <w:p>
            <w:r>
              <w:t xml:space="preserve">Vendor concentration % (top vendor / top 5 vendors as % of total AP)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5000"/>
          </w:tcPr>
          <w:p>
            <w:r>
              <w:t xml:space="preserve">Calculated from AP Aging Table</w:t>
            </w:r>
          </w:p>
        </w:tc>
      </w:tr>
      <w:tr>
        <w:tc>
          <w:tcPr>
            <w:tcW w:type="dxa" w:w="3000"/>
          </w:tcPr>
          <w:p>
            <w:r>
              <w:t xml:space="preserve">% of total AP over 90 days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5000"/>
          </w:tcPr>
          <w:p>
            <w:r>
              <w:t xml:space="preserve">Calculated from AP Aging Table</w:t>
            </w:r>
          </w:p>
        </w:tc>
      </w:tr>
      <w:tr>
        <w:tc>
          <w:tcPr>
            <w:tcW w:type="dxa" w:w="3000"/>
          </w:tcPr>
          <w:p>
            <w:r>
              <w:t xml:space="preserve">Tab visibility toggle (On/Off)</w:t>
            </w:r>
          </w:p>
        </w:tc>
        <w:tc>
          <w:tcPr>
            <w:tcW w:type="dxa" w:w="1500"/>
          </w:tcPr>
          <w:p>
            <w:r>
              <w:t xml:space="preserve">Read/Write</w:t>
            </w:r>
          </w:p>
        </w:tc>
        <w:tc>
          <w:tcPr>
            <w:tcW w:type="dxa" w:w="5000"/>
          </w:tcPr>
          <w:p>
            <w:r>
              <w:t xml:space="preserve">QoE engagement setup / configuration</w:t>
            </w:r>
          </w:p>
        </w:tc>
      </w:tr>
      <w:tr>
        <w:tc>
          <w:tcPr>
            <w:tcW w:type="dxa" w:w="3000"/>
          </w:tcPr>
          <w:p>
            <w:r>
              <w:t xml:space="preserve">Company/Deal ID</w:t>
            </w:r>
          </w:p>
        </w:tc>
        <w:tc>
          <w:tcPr>
            <w:tcW w:type="dxa" w:w="1500"/>
          </w:tcPr>
          <w:p>
            <w:r>
              <w:t xml:space="preserve">Read</w:t>
            </w:r>
          </w:p>
        </w:tc>
        <w:tc>
          <w:tcPr>
            <w:tcW w:type="dxa" w:w="5000"/>
          </w:tcPr>
          <w:p>
            <w:r>
              <w:t xml:space="preserve">SY-0002 Company Access Setup (deal scoping)</w:t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Roles with access: Accountant/QoE provider, Broker, Company (subject to standard QoE visibility settings).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Roles explicitly excluded: Bank and Buyer, unless and until explicitly granted access per SE-0002 permissioning (AP aging detail is sensitive vendor-level financial data not typically shared pre-LOI).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Deal isolation confirmed: this feature is scoped to a single company/deal only. No cross-deal or cross-company visibility of data, documents, or search results.</w:t>
      </w:r>
    </w:p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Platform: Web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Wireframe reference: N/A</w:t>
      </w:r>
    </w:p>
    <w:p>
      <w:pPr>
        <w:spacing w:after="120"/>
      </w:pPr>
      <w:r>
        <w:t xml:space="preserve">Presented as a tab within the QoE module, consistent with the layout pattern of other QoE tabs (e.g., QE-0011 AR Aging Analysis, QE-0006 Working Capital). Summary bucket totals displayed at the top (table and/or simple bar chart), with a sortable vendor detail table below. Concentration and aged-balance flags surfaced as a small callout or badge near the summary, not buried in the detail table.</w:t>
      </w:r>
    </w:p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 Dependencies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0"/>
      </w:tblGrid>
      <w:tr>
        <w:tc>
          <w:tcPr>
            <w:tcW w:type="dxa" w:w="2200"/>
            <w:shd w:fill="D9D9D9" w:color="auto" w:val="clear"/>
          </w:tcPr>
          <w:p>
            <w:r>
              <w:rPr>
                <w:b/>
                <w:bCs/>
              </w:rPr>
              <w:t xml:space="preserve">Related Feature</w:t>
            </w:r>
          </w:p>
        </w:tc>
        <w:tc>
          <w:tcPr>
            <w:tcW w:type="dxa" w:w="2000"/>
            <w:shd w:fill="D9D9D9" w:color="auto" w:val="clear"/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5300"/>
            <w:shd w:fill="D9D9D9" w:color="auto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t xml:space="preserve">DR-0001</w:t>
            </w:r>
          </w:p>
        </w:tc>
        <w:tc>
          <w:tcPr>
            <w:tcW w:type="dxa" w:w="2000"/>
          </w:tcPr>
          <w:p>
            <w:r>
              <w:t xml:space="preserve">Depends on</w:t>
            </w:r>
          </w:p>
        </w:tc>
        <w:tc>
          <w:tcPr>
            <w:tcW w:type="dxa" w:w="5300"/>
          </w:tcPr>
          <w:p>
            <w:r>
              <w:t xml:space="preserve">AP aging report must be uploaded to the Data Room before extraction can occur.</w:t>
            </w:r>
          </w:p>
        </w:tc>
      </w:tr>
      <w:tr>
        <w:tc>
          <w:tcPr>
            <w:tcW w:type="dxa" w:w="2200"/>
          </w:tcPr>
          <w:p>
            <w:r>
              <w:t xml:space="preserve">DB-0009</w:t>
            </w:r>
          </w:p>
        </w:tc>
        <w:tc>
          <w:tcPr>
            <w:tcW w:type="dxa" w:w="2000"/>
          </w:tcPr>
          <w:p>
            <w:r>
              <w:t xml:space="preserve">Related pattern</w:t>
            </w:r>
          </w:p>
        </w:tc>
        <w:tc>
          <w:tcPr>
            <w:tcW w:type="dxa" w:w="5300"/>
          </w:tcPr>
          <w:p>
            <w:r>
              <w:t xml:space="preserve">AP Aging Table follows the same structural approach as the Bank Statement Table (structured extraction into a defined table rather than a generic document store).</w:t>
            </w:r>
          </w:p>
        </w:tc>
      </w:tr>
      <w:tr>
        <w:tc>
          <w:tcPr>
            <w:tcW w:type="dxa" w:w="2200"/>
          </w:tcPr>
          <w:p>
            <w:r>
              <w:t xml:space="preserve">QE-0011</w:t>
            </w:r>
          </w:p>
        </w:tc>
        <w:tc>
          <w:tcPr>
            <w:tcW w:type="dxa" w:w="2000"/>
          </w:tcPr>
          <w:p>
            <w:r>
              <w:t xml:space="preserve">Related pattern</w:t>
            </w:r>
          </w:p>
        </w:tc>
        <w:tc>
          <w:tcPr>
            <w:tcW w:type="dxa" w:w="5300"/>
          </w:tcPr>
          <w:p>
            <w:r>
              <w:t xml:space="preserve">AR Aging Analysis is the mirror feature on the receivables side; both should share the same aging-bucket and table-layout conventions for consistency.</w:t>
            </w:r>
          </w:p>
        </w:tc>
      </w:tr>
      <w:tr>
        <w:tc>
          <w:tcPr>
            <w:tcW w:type="dxa" w:w="2200"/>
          </w:tcPr>
          <w:p>
            <w:r>
              <w:t xml:space="preserve">SE-0002</w:t>
            </w:r>
          </w:p>
        </w:tc>
        <w:tc>
          <w:tcPr>
            <w:tcW w:type="dxa" w:w="2000"/>
          </w:tcPr>
          <w:p>
            <w:r>
              <w:t xml:space="preserve">Depends on</w:t>
            </w:r>
          </w:p>
        </w:tc>
        <w:tc>
          <w:tcPr>
            <w:tcW w:type="dxa" w:w="5300"/>
          </w:tcPr>
          <w:p>
            <w:r>
              <w:t xml:space="preserve">Role/module-level access control gating who can view the AP Aging tab.</w:t>
            </w:r>
          </w:p>
        </w:tc>
      </w:tr>
      <w:tr>
        <w:tc>
          <w:tcPr>
            <w:tcW w:type="dxa" w:w="2200"/>
          </w:tcPr>
          <w:p>
            <w:r>
              <w:t xml:space="preserve">Document versioning (cross-cutting gap)</w:t>
            </w:r>
          </w:p>
        </w:tc>
        <w:tc>
          <w:tcPr>
            <w:tcW w:type="dxa" w:w="2000"/>
          </w:tcPr>
          <w:p>
            <w:r>
              <w:t xml:space="preserve">Depends on</w:t>
            </w:r>
          </w:p>
        </w:tc>
        <w:tc>
          <w:tcPr>
            <w:tcW w:type="dxa" w:w="5300"/>
          </w:tcPr>
          <w:p>
            <w:r>
              <w:t xml:space="preserve">Re-uploaded AP aging reports must version rather than overwrite; no dedicated feature ID exists yet for general versioning.</w:t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reclassification or adjustment of individual AP line items — not supported in this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Narrative commentary or Q&amp;A linkage on specific vendors or aged balances (parallel to QE-0006 Working Capital's commentary tie-in) — deferred to a future spec if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Parsing of non-standard or non-tabular AP aging report formats beyond common accounting-system exports (e.g., QuickBooks) — flagged as an Open Question below.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 analysis across multiple periods/uploads — this version presents the most recent uploaded report only.</w:t>
      </w:r>
    </w:p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specific file formats/sources must the extraction logic support at launch (e.g., QuickBooks Online AP Aging Detail export, QuickBooks Desktop, generic CSV/Excel)? This determines parsing complexity.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default threshold for the vendor concentration and 90+ day flags, and should it be configurable per engagement or fixed platform-wide?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the toggle default to On or Off for new QoE engagements?</w:t>
      </w:r>
    </w:p>
    <w:p>
      <w:pPr>
        <w:spacing w:after="150" w:before="300"/>
      </w:pPr>
      <w:r>
        <w:rPr>
          <w:b/>
          <w:bCs/>
          <w:color w:val="1F3864"/>
          <w:sz w:val="26"/>
          <w:szCs w:val="26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an uploaded AP aging report, the system correctly extracts vendor, invoice, date, and amount data and assigns each line to the correct standardized aging bucket.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 Aging tab displays accurate bucket totals and vendor-level totals that reconcile to the total AP balance on the uploaded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concentration and 90+ day aging flags display correctly and update when the threshold is crossed.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tab can be toggled on/off per engagement, and the on/off state is respected in the QoE module navigation.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Re-uploading an AP aging report creates a new version without deleting or overwriting the prior version's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the tab correctly respects role-based permissions per SE-0002, with Bank and Buyer excluded by default.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93386D-FF6C-43A4-BE29-01A32C0A7D07}"/>
</file>

<file path=customXml/itemProps2.xml><?xml version="1.0" encoding="utf-8"?>
<ds:datastoreItem xmlns:ds="http://schemas.openxmlformats.org/officeDocument/2006/customXml" ds:itemID="{38C5A0E7-072A-4000-8ACF-2EA27D4307F6}"/>
</file>

<file path=customXml/itemProps3.xml><?xml version="1.0" encoding="utf-8"?>
<ds:datastoreItem xmlns:ds="http://schemas.openxmlformats.org/officeDocument/2006/customXml" ds:itemID="{6B4EA9A3-2DE3-47AD-8837-DCBFB5B3079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2026-08-15T05:06:00Z</dcterms:created>
  <dcterms:modified xsi:type="dcterms:W3CDTF">2026-08-15T05:06:00Z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