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3864"/>
          <w:sz w:val="36"/>
          <w:szCs w:val="36"/>
        </w:rPr>
        <w:t xml:space="preserve">CENTURIUUM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Feature Specification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D9D9D9" w:color="auto" w:val="clear"/>
          </w:tcPr>
          <w:p>
            <w:r>
              <w:rPr>
                <w:b/>
                <w:bCs/>
              </w:rPr>
              <w:t xml:space="preserve">Feature ID</w:t>
            </w:r>
          </w:p>
        </w:tc>
        <w:tc>
          <w:tcPr>
            <w:tcW w:type="dxa" w:w="6550"/>
          </w:tcPr>
          <w:p>
            <w:r>
              <w:rPr>
                <w:i w:val="false"/>
                <w:iCs w:val="false"/>
              </w:rPr>
              <w:t xml:space="preserve">DR - 0007</w:t>
            </w:r>
          </w:p>
        </w:tc>
      </w:tr>
      <w:tr>
        <w:tc>
          <w:tcPr>
            <w:tcW w:type="dxa" w:w="2800"/>
            <w:shd w:fill="D9D9D9" w:color="auto" w:val="clear"/>
          </w:tcPr>
          <w:p>
            <w:r>
              <w:rPr>
                <w:b/>
                <w:bCs/>
              </w:rPr>
              <w:t xml:space="preserve">Feature Name</w:t>
            </w:r>
          </w:p>
        </w:tc>
        <w:tc>
          <w:tcPr>
            <w:tcW w:type="dxa" w:w="6550"/>
          </w:tcPr>
          <w:p>
            <w:r>
              <w:rPr>
                <w:i w:val="false"/>
                <w:iCs w:val="false"/>
              </w:rPr>
              <w:t xml:space="preserve">Payroll System Integrations</w:t>
            </w:r>
          </w:p>
        </w:tc>
      </w:tr>
      <w:tr>
        <w:tc>
          <w:tcPr>
            <w:tcW w:type="dxa" w:w="2800"/>
            <w:shd w:fill="D9D9D9" w:color="auto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550"/>
          </w:tcPr>
          <w:p>
            <w:r>
              <w:rPr>
                <w:i w:val="false"/>
                <w:iCs w:val="false"/>
              </w:rPr>
              <w:t xml:space="preserve">DR - Data Room</w:t>
            </w:r>
          </w:p>
        </w:tc>
      </w:tr>
      <w:tr>
        <w:tc>
          <w:tcPr>
            <w:tcW w:type="dxa" w:w="2800"/>
            <w:shd w:fill="D9D9D9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550"/>
          </w:tcPr>
          <w:p>
            <w:r>
              <w:rPr>
                <w:i w:val="false"/>
                <w:iCs w:val="false"/>
              </w:rPr>
              <w:t xml:space="preserve">Draft</w:t>
            </w:r>
          </w:p>
        </w:tc>
      </w:tr>
      <w:tr>
        <w:tc>
          <w:tcPr>
            <w:tcW w:type="dxa" w:w="2800"/>
            <w:shd w:fill="D9D9D9" w:color="auto" w:val="clear"/>
          </w:tcPr>
          <w:p>
            <w:r>
              <w:rPr>
                <w:b/>
                <w:bCs/>
              </w:rPr>
              <w:t xml:space="preserve">Related / Recycled IDs</w:t>
            </w:r>
          </w:p>
        </w:tc>
        <w:tc>
          <w:tcPr>
            <w:tcW w:type="dxa" w:w="6550"/>
          </w:tcPr>
          <w:p>
            <w:r>
              <w:rPr>
                <w:i w:val="false"/>
                <w:iCs w:val="false"/>
              </w:rPr>
              <w:t xml:space="preserve">None</w:t>
            </w:r>
          </w:p>
        </w:tc>
      </w:tr>
      <w:tr>
        <w:tc>
          <w:tcPr>
            <w:tcW w:type="dxa" w:w="2800"/>
            <w:shd w:fill="D9D9D9" w:color="auto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550"/>
          </w:tcPr>
          <w:p>
            <w:r>
              <w:rPr>
                <w:i w:val="false"/>
                <w:iCs w:val="false"/>
              </w:rPr>
              <w:t xml:space="preserve">Josh Tonnesen</w:t>
            </w:r>
          </w:p>
        </w:tc>
      </w:tr>
      <w:tr>
        <w:tc>
          <w:tcPr>
            <w:tcW w:type="dxa" w:w="2800"/>
            <w:shd w:fill="D9D9D9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550"/>
          </w:tcPr>
          <w:p>
            <w:r>
              <w:rPr>
                <w:i w:val="false"/>
                <w:iCs w:val="false"/>
              </w:rPr>
              <w:t xml:space="preserve">August 14, 2026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Purpose &amp; Business Context</w:t>
      </w:r>
    </w:p>
    <w:p>
      <w:pPr>
        <w:spacing w:after="150"/>
      </w:pPr>
      <w:r>
        <w:t xml:space="preserve">Owner and family compensation is the largest and most frequently disputed add-back in a lower middle market SDE or EBITDA bridge, and the underlying detail is almost never available in the general ledger at sufficient granularity to support it. This feature lets a user connect directly to the company's payroll provider and retrieve standard payroll reports into the data room, replacing the manual back-and-forth of requesting these documents from the company. This spec covers connection and retrieval only — the reports are saved into the data room as static files. Parsing that retrieved data into structured, employee-level fields for use elsewhere in the system (e.g., QoE add-back support) is explicitly a separate, future feature (see Dependencies and Open Questions).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User Stories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a QoE preparer, I want to connect to the company's payroll provider and pull standard payroll reports directly into the data room, so that I don't have to request and manually upload these documents from the company.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a company user, I want to authorize a secure connection to my payroll system once, so that I don't have to repeatedly export and upload payroll reports myself.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a broker, I want the retrieved payroll reports to live in the data room like any other document, so that anyone with access to that folder can reference them without extra steps.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allow a user to initiate a payroll connection through the Data Retrieve Wizard (DR-0003), with payroll providers presented as a connection type alongside financial data sources.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support OAuth-based connection to Gusto, ADP (Run and Workforce Now), Paychex, Paylocity, Rippling, and QuickBooks Payroll, using each provider's official API — never browser automation or stored credentials.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support a mapped file import path for payroll providers outside the six supported integrations, allowing manual upload of an exported report mapped to a standard template.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retrieve standard payroll reports (e.g., payroll summary, payroll detail, tax liability report) for a user-specified date range.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save retrieved reports as static files in the data room; retrieved reports do not maintain a live/refreshing connection to the payroll source.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create a new version of the retrieved report set each time a pull is re-run for the same connection, rather than overwriting the prior pull.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record which payroll provider, connection account, date range, and user initiated each retrieval.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place retrieved payroll reports into the data room folder structure defined for payroll documentation (per DR-0002), subject to standard folder-level permissions.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notify the user of retrieval success or failure, including authentication errors and provider-side rate limits or outages.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NOT parse retrieved reports into structured, employee-level data fields as part of this feature.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Data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50"/>
        <w:gridCol w:w="4500"/>
      </w:tblGrid>
      <w:tr>
        <w:tc>
          <w:tcPr>
            <w:tcW w:type="dxa" w:w="31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Data Element</w:t>
            </w:r>
          </w:p>
        </w:tc>
        <w:tc>
          <w:tcPr>
            <w:tcW w:type="dxa" w:w="175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Read/Write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Source / Destination</w:t>
            </w:r>
          </w:p>
        </w:tc>
      </w:tr>
      <w:tr>
        <w:tc>
          <w:tcPr>
            <w:tcW w:type="dxa" w:w="3100"/>
          </w:tcPr>
          <w:p>
            <w:r>
              <w:t xml:space="preserve">Retrieved payroll report files</w:t>
            </w:r>
          </w:p>
        </w:tc>
        <w:tc>
          <w:tcPr>
            <w:tcW w:type="dxa" w:w="1750"/>
          </w:tcPr>
          <w:p>
            <w:r>
              <w:t xml:space="preserve">Write</w:t>
            </w:r>
          </w:p>
        </w:tc>
        <w:tc>
          <w:tcPr>
            <w:tcW w:type="dxa" w:w="4500"/>
          </w:tcPr>
          <w:p>
            <w:r>
              <w:t xml:space="preserve">Data room storage, filed per the templated folder structure in DR-0002</w:t>
            </w:r>
          </w:p>
        </w:tc>
      </w:tr>
      <w:tr>
        <w:tc>
          <w:tcPr>
            <w:tcW w:type="dxa" w:w="3100"/>
          </w:tcPr>
          <w:p>
            <w:r>
              <w:t xml:space="preserve">Retrieval metadata (provider, account, date range, initiating user, timestamp, version)</w:t>
            </w:r>
          </w:p>
        </w:tc>
        <w:tc>
          <w:tcPr>
            <w:tcW w:type="dxa" w:w="1750"/>
          </w:tcPr>
          <w:p>
            <w:r>
              <w:t xml:space="preserve">Write</w:t>
            </w:r>
          </w:p>
        </w:tc>
        <w:tc>
          <w:tcPr>
            <w:tcW w:type="dxa" w:w="4500"/>
          </w:tcPr>
          <w:p>
            <w:r>
              <w:t xml:space="preserve">System — dedicated DB module table block not yet defined; see Open Questions</w:t>
            </w:r>
          </w:p>
        </w:tc>
      </w:tr>
      <w:tr>
        <w:tc>
          <w:tcPr>
            <w:tcW w:type="dxa" w:w="3100"/>
          </w:tcPr>
          <w:p>
            <w:r>
              <w:t xml:space="preserve">Provider OAuth connection/token</w:t>
            </w:r>
          </w:p>
        </w:tc>
        <w:tc>
          <w:tcPr>
            <w:tcW w:type="dxa" w:w="1750"/>
          </w:tcPr>
          <w:p>
            <w:r>
              <w:t xml:space="preserve">Write</w:t>
            </w:r>
          </w:p>
        </w:tc>
        <w:tc>
          <w:tcPr>
            <w:tcW w:type="dxa" w:w="4500"/>
          </w:tcPr>
          <w:p>
            <w:r>
              <w:t xml:space="preserve">Integration/auth layer — not a Database (DB) module table</w:t>
            </w:r>
          </w:p>
        </w:tc>
      </w:tr>
    </w:tbl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Note: structured, employee-level compensation fields (base wages, bonus, owner draws, employer taxes, headcount) are explicitly out of scope for this feature and are deferred to a future spec (see Dependencies).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Access &amp; Security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Roles with access: any role granted access to the data room folder where payroll reports are stored (e.g., Broker, Accountant/QoE, Company), governed by the standard data room permission model — no additional restriction layer beyond normal folder permissions.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Roles explicitly excluded: none beyond standard folder-level permission exclusions already governed elsewhere in the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Deal isolation confirmed: this feature is scoped to a single company/deal only. No cross-deal or cross-company visibility of data, documents, or search results.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Decision note: the original product-list description for this feature flagged payroll data as restricted to the QoE/valuation team only and never exposed in the data room. Per direction from Josh, this spec instead treats retrieved payroll reports like any other data room document — visibility is governed strictly by data room folder access, with no additional gating layer.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UI / UX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Platform: Web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Wireframe reference: N/A</w:t>
      </w:r>
    </w:p>
    <w:p>
      <w:pPr>
        <w:spacing w:after="150"/>
      </w:pPr>
      <w:r>
        <w:t xml:space="preserve">Payroll retrieval extends the existing Data Retrieve Wizard (DR-0003) UI: the user selects a payroll provider as a connection type alongside financial data sources, completes OAuth consent, selects a date range, initiates retrieval, and sees a confirmation with a link to the saved files in the data room.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Dependencies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50"/>
      </w:tblGrid>
      <w:tr>
        <w:tc>
          <w:tcPr>
            <w:tcW w:type="dxa" w:w="26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Related Feature</w:t>
            </w:r>
          </w:p>
        </w:tc>
        <w:tc>
          <w:tcPr>
            <w:tcW w:type="dxa" w:w="20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Relationship</w:t>
            </w:r>
          </w:p>
        </w:tc>
        <w:tc>
          <w:tcPr>
            <w:tcW w:type="dxa" w:w="475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t xml:space="preserve">DR-0003 — Data Retrieve Wizard</w:t>
            </w:r>
          </w:p>
        </w:tc>
        <w:tc>
          <w:tcPr>
            <w:tcW w:type="dxa" w:w="2000"/>
          </w:tcPr>
          <w:p>
            <w:r>
              <w:t xml:space="preserve">Depends on</w:t>
            </w:r>
          </w:p>
        </w:tc>
        <w:tc>
          <w:tcPr>
            <w:tcW w:type="dxa" w:w="4750"/>
          </w:tcPr>
          <w:p>
            <w:r>
              <w:t xml:space="preserve">Payroll retrieval extends the same wizard framework and connection UI used for financial data sources.</w:t>
            </w:r>
          </w:p>
        </w:tc>
      </w:tr>
      <w:tr>
        <w:tc>
          <w:tcPr>
            <w:tcW w:type="dxa" w:w="2600"/>
          </w:tcPr>
          <w:p>
            <w:r>
              <w:t xml:space="preserve">DR-0002 — Templated File Structure</w:t>
            </w:r>
          </w:p>
        </w:tc>
        <w:tc>
          <w:tcPr>
            <w:tcW w:type="dxa" w:w="2000"/>
          </w:tcPr>
          <w:p>
            <w:r>
              <w:t xml:space="preserve">Depends on</w:t>
            </w:r>
          </w:p>
        </w:tc>
        <w:tc>
          <w:tcPr>
            <w:tcW w:type="dxa" w:w="4750"/>
          </w:tcPr>
          <w:p>
            <w:r>
              <w:t xml:space="preserve">Determines where retrieved payroll reports are filed within the data room.</w:t>
            </w:r>
          </w:p>
        </w:tc>
      </w:tr>
      <w:tr>
        <w:tc>
          <w:tcPr>
            <w:tcW w:type="dxa" w:w="2600"/>
          </w:tcPr>
          <w:p>
            <w:r>
              <w:t xml:space="preserve">TBD (future spec) — Payroll Data Structuring / Parsing</w:t>
            </w:r>
          </w:p>
        </w:tc>
        <w:tc>
          <w:tcPr>
            <w:tcW w:type="dxa" w:w="2000"/>
          </w:tcPr>
          <w:p>
            <w:r>
              <w:t xml:space="preserve">Blocks (future)</w:t>
            </w:r>
          </w:p>
        </w:tc>
        <w:tc>
          <w:tcPr>
            <w:tcW w:type="dxa" w:w="4750"/>
          </w:tcPr>
          <w:p>
            <w:r>
              <w:t xml:space="preserve">Extracting employee-level compensation detail from these reports into structured data is a separate, not-yet-specced feature that consumes the output of this one.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8. Out of Scope / Deferred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Parsing or structuring employee-level compensation detail (base wages, bonus, owner draws, employer taxes, headcount) into database tables — deferred to a future spec that consumes the reports retrieved 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restriction of payroll data visibility beyond standard data room folder permissions.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or refreshing sync with the payroll provider — retrieval produces static files only, consistent with the Data Retrieve Wizard convention.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9.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future spec is needed to parse retrieved payroll reports into structured data (to support QE-0004 add-back analysis, among others) — this will need its own Feature ID and should be added to the Known Cross-Cutting Gaps or Spec Log once scoped.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standard report types should be pulled by default per provider (payroll summary vs. detail vs. tax liability) — may vary by provider capability and needs confirmation per provider during build.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retrieval support a recurring/scheduled pull (e.g., monthly during an active engagement), or is it always manually triggered per session? Not yet decided.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10. 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can select a payroll provider from the Data Retrieve Wizard and connect via OAuth, or upload via the mapped file import path for unsupported providers.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Retrieved payroll reports for the selected date range are saved as static files in the correct data room folder.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Re-running a retrieval for the same connection creates a new version without overwriting the prior pull.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Retrieval metadata (provider, account, date range, initiating user, timestamp) is recorded and viewable.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user with access to the payroll documents' data room folder can view them; users without folder access cannot.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Failed authentication or provider errors surface a clear, actionable message to the initiating user.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A6E275-2D15-4BE8-9230-2A0408B2449C}"/>
</file>

<file path=customXml/itemProps2.xml><?xml version="1.0" encoding="utf-8"?>
<ds:datastoreItem xmlns:ds="http://schemas.openxmlformats.org/officeDocument/2006/customXml" ds:itemID="{4A4CFA0F-3F14-468D-9FA1-1D930FA1E52C}"/>
</file>

<file path=customXml/itemProps3.xml><?xml version="1.0" encoding="utf-8"?>
<ds:datastoreItem xmlns:ds="http://schemas.openxmlformats.org/officeDocument/2006/customXml" ds:itemID="{EAB68CB1-EA09-4C71-904E-D3BF165BD98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2026-08-14T11:00:33Z</dcterms:created>
  <dcterms:modified xsi:type="dcterms:W3CDTF">2026-08-14T11:00:33Z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