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CENTURIUUM</w:t>
      </w:r>
    </w:p>
    <w:p>
      <w:pPr>
        <w:spacing w:after="240"/>
        <w:jc w:val="center"/>
      </w:pPr>
      <w:r>
        <w:rPr>
          <w:b/>
          <w:bCs/>
          <w:sz w:val="26"/>
          <w:szCs w:val="26"/>
        </w:rPr>
        <w:t xml:space="preserve">Feature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Feature ID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QE - 0004</w:t>
            </w:r>
          </w:p>
        </w:tc>
      </w:tr>
      <w:tr>
        <w:tc>
          <w:tcPr>
            <w:tcW w:type="dxa" w:w="2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SDE / EBITDA Tab</w:t>
            </w:r>
          </w:p>
        </w:tc>
      </w:tr>
      <w:tr>
        <w:tc>
          <w:tcPr>
            <w:tcW w:type="dxa" w:w="2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QE - Quality of Earnings</w:t>
            </w:r>
          </w:p>
        </w:tc>
      </w:tr>
      <w:tr>
        <w:tc>
          <w:tcPr>
            <w:tcW w:type="dxa" w:w="2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Related / Recycled IDs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Related to QE-0001 (Tax Reconciliation), QE-0002 (Full Tax Return Mapping); structurally similar (not recycled) to the forthcoming CIM/SIM Builder Adjusted EBITDA build under Module CM</w:t>
            </w:r>
          </w:p>
        </w:tc>
      </w:tr>
      <w:tr>
        <w:tc>
          <w:tcPr>
            <w:tcW w:type="dxa" w:w="2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Josh Tonnesen</w:t>
            </w:r>
          </w:p>
        </w:tc>
      </w:tr>
      <w:tr>
        <w:tc>
          <w:tcPr>
            <w:tcW w:type="dxa" w:w="2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August 15, 2026</w:t>
            </w:r>
          </w:p>
        </w:tc>
      </w:tr>
    </w:tbl>
    <w:p>
      <w:pPr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1. Purpose &amp; Business Context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SDE/EBITDA Tab allows a QoE preparer to build a defensible Seller's Discretionary Earnings (SDE) or Adjusted EBITDA bridge for the company, starting from net income and layering standardized EBIT add-backs and deal-specific discretionary add-backs on top. This bridge is the analytical backbone of the engagement: brokers, buyers, and lenders rely on its output directly in valuation and negotiation, so every line must be traceable back to source GL data, tax return data, or documented management representations.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feature covers the QoE-side build only. A structurally similar Adjusted EBITDA/SDE calculation exists separately in the broker-facing CIM/SIM Builder (Module CM); the two are intentionally independent because a broker and a QoE provider may support, reject, or size add-backs differently on the same deal. See Out of Scope.</w:t>
      </w:r>
    </w:p>
    <w:p>
      <w:pPr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2. User Stories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 a QoE preparer (accountant), I want to build an EBITDA/SDE bridge starting from net income sourced from either company financials or tax returns, so that I can support the appropriate metric for the size and complexity of the deal.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 a QoE preparer, I want standardized EBIT add-backs (interest, income taxes, depreciation, amortization) pulled automatically from the GL, so that I don't have to manually locate and total them on every engagement.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 a QoE preparer, I want to add discretionary add-backs linked directly to GL accounts, vendors, or manual/recast entries, so that every adjustment is traceable back to source data.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 a QoE preparer, I want add-back support to link back to relevant Q&amp;A entries, so that the rationale for each adjustment is documented and defensible.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 a QoE preparer, I want to toggle between annual and monthly views across selectable years, so that I can present the bridge at whatever level of granularity the deal calls for.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 a broker or buyer, I want to view the finalized Adjusted EBITDA/SDE bridge with supporting commentary, so that I understand how the reported earnings figure was derived.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 a company profile owner, I want the system to apply the correct SDE-vs-Adjusted-EBITDA convention automatically based on my company setup, so that I don't have to configure it per tab.</w:t>
      </w:r>
    </w:p>
    <w:p>
      <w:pPr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3. Functional Requirements</w:t>
      </w:r>
    </w:p>
    <w:p>
      <w:pPr>
        <w:spacing w:after="80"/>
      </w:pPr>
      <w:r>
        <w:rPr>
          <w:sz w:val="22"/>
          <w:szCs w:val="22"/>
        </w:rPr>
        <w:t xml:space="preserve">1. The system shall provide a data source toggle at the top of the tab, allowing the user to select either “Company Financials” or “Tax Return” as the source for the entire tab.</w:t>
      </w:r>
    </w:p>
    <w:p>
      <w:pPr>
        <w:spacing w:after="80"/>
      </w:pPr>
      <w:r>
        <w:rPr>
          <w:sz w:val="22"/>
          <w:szCs w:val="22"/>
        </w:rPr>
        <w:t xml:space="preserve">2. Switching the data source toggle shall recalculate all rows on the tab using the newly selected source; the two data sets shall never be mixed within a single view.</w:t>
      </w:r>
    </w:p>
    <w:p>
      <w:pPr>
        <w:spacing w:after="80"/>
      </w:pPr>
      <w:r>
        <w:rPr>
          <w:sz w:val="22"/>
          <w:szCs w:val="22"/>
        </w:rPr>
        <w:t xml:space="preserve">3. When “Tax Return” is selected, the system shall source net income and all applicable line items from the Tax Return data table established in QE-0001.</w:t>
      </w:r>
    </w:p>
    <w:p>
      <w:pPr>
        <w:spacing w:after="80"/>
      </w:pPr>
      <w:r>
        <w:rPr>
          <w:sz w:val="22"/>
          <w:szCs w:val="22"/>
        </w:rPr>
        <w:t xml:space="preserve">4. The system shall retain each add-back record independently of the toggle state and shall apply source-appropriate account mapping so an add-back entered under one data source is not lost when the user toggles to the other (see Open Questions for translation logic).</w:t>
      </w:r>
    </w:p>
    <w:p>
      <w:pPr>
        <w:spacing w:after="80"/>
      </w:pPr>
      <w:r>
        <w:rPr>
          <w:sz w:val="22"/>
          <w:szCs w:val="22"/>
        </w:rPr>
        <w:t xml:space="preserve">5. The system shall default to “Company Financials” as the data source when the tab is first opened.</w:t>
      </w:r>
    </w:p>
    <w:p>
      <w:pPr>
        <w:spacing w:after="80"/>
      </w:pPr>
      <w:r>
        <w:rPr>
          <w:sz w:val="22"/>
          <w:szCs w:val="22"/>
        </w:rPr>
        <w:t xml:space="preserve">6. The system shall calculate and display a “Reported EBITDA” subtotal as: Net Income + Interest Expense − Interest Income + Depreciation Expense + Amortization Expense + Income Tax Expense.</w:t>
      </w:r>
    </w:p>
    <w:p>
      <w:pPr>
        <w:spacing w:after="80"/>
      </w:pPr>
      <w:r>
        <w:rPr>
          <w:sz w:val="22"/>
          <w:szCs w:val="22"/>
        </w:rPr>
        <w:t xml:space="preserve">7. The system shall pull Interest Income, Interest Expense, and Income Tax Expense from predefined, mapped GL account groupings.</w:t>
      </w:r>
    </w:p>
    <w:p>
      <w:pPr>
        <w:spacing w:after="80"/>
      </w:pPr>
      <w:r>
        <w:rPr>
          <w:sz w:val="22"/>
          <w:szCs w:val="22"/>
        </w:rPr>
        <w:t xml:space="preserve">8. The system shall identify Depreciation Expense and Amortization Expense using a centralized account-level flag maintained at the Chart of Accounts / data ingestion layer, shared with QE-0001 Tax Reconciliation.</w:t>
      </w:r>
    </w:p>
    <w:p>
      <w:pPr>
        <w:spacing w:after="80"/>
      </w:pPr>
      <w:r>
        <w:rPr>
          <w:sz w:val="22"/>
          <w:szCs w:val="22"/>
        </w:rPr>
        <w:t xml:space="preserve">9. The system shall display each EBIT add-back (Interest Income, Interest Expense, Depreciation, Amortization, Income Taxes) as its own line item, never pre-aggregated.</w:t>
      </w:r>
    </w:p>
    <w:p>
      <w:pPr>
        <w:spacing w:after="80"/>
      </w:pPr>
      <w:r>
        <w:rPr>
          <w:sz w:val="22"/>
          <w:szCs w:val="22"/>
        </w:rPr>
        <w:t xml:space="preserve">10. The system shall display a second subtotal section below Reported EBITDA, labeled “Add-Backs,” listing all discretionary/normalizing adjustments.</w:t>
      </w:r>
    </w:p>
    <w:p>
      <w:pPr>
        <w:spacing w:after="80"/>
      </w:pPr>
      <w:r>
        <w:rPr>
          <w:sz w:val="22"/>
          <w:szCs w:val="22"/>
        </w:rPr>
        <w:t xml:space="preserve">11. The system shall display a final bottom-line row labeled “Adjusted EBITDA” or “SDE” according to the metric convention configured in the Company Profile (CP-0001).</w:t>
      </w:r>
    </w:p>
    <w:p>
      <w:pPr>
        <w:spacing w:after="80"/>
      </w:pPr>
      <w:r>
        <w:rPr>
          <w:sz w:val="22"/>
          <w:szCs w:val="22"/>
        </w:rPr>
        <w:t xml:space="preserve">12. The system shall apply an Owner Compensation add-back rule that differs only by convention: “Adjusted EBITDA” adds back owner compensation net of one market-rate replacement salary; “SDE” adds back full owner compensation with no market-rate replacement. This shall be the only structural difference between the two calculations.</w:t>
      </w:r>
    </w:p>
    <w:p>
      <w:pPr>
        <w:spacing w:after="80"/>
      </w:pPr>
      <w:r>
        <w:rPr>
          <w:sz w:val="22"/>
          <w:szCs w:val="22"/>
        </w:rPr>
        <w:t xml:space="preserve">13. The system shall calculate and display an “Adjusted EBITDA/SDE Margin” as Adjusted EBITDA (or SDE) divided by Revenue.</w:t>
      </w:r>
    </w:p>
    <w:p>
      <w:pPr>
        <w:spacing w:after="80"/>
      </w:pPr>
      <w:r>
        <w:rPr>
          <w:sz w:val="22"/>
          <w:szCs w:val="22"/>
        </w:rPr>
        <w:t xml:space="preserve">14. The system shall allow the user to include or exclude individual fiscal years/periods as displayed columns via a selection control, not a continuous date-range picker.</w:t>
      </w:r>
    </w:p>
    <w:p>
      <w:pPr>
        <w:spacing w:after="80"/>
      </w:pPr>
      <w:r>
        <w:rPr>
          <w:sz w:val="22"/>
          <w:szCs w:val="22"/>
        </w:rPr>
        <w:t xml:space="preserve">15. The system shall allow the user to toggle column aggregation between Annual and Monthly views.</w:t>
      </w:r>
    </w:p>
    <w:p>
      <w:pPr>
        <w:spacing w:after="80"/>
      </w:pPr>
      <w:r>
        <w:rPr>
          <w:sz w:val="22"/>
          <w:szCs w:val="22"/>
        </w:rPr>
        <w:t xml:space="preserve">16. The system shall default to Annual columns for all fiscal years available in the ingested data.</w:t>
      </w:r>
    </w:p>
    <w:p>
      <w:pPr>
        <w:spacing w:after="80"/>
      </w:pPr>
      <w:r>
        <w:rPr>
          <w:sz w:val="22"/>
          <w:szCs w:val="22"/>
        </w:rPr>
        <w:t xml:space="preserve">17. The system shall provide an “Add New Add-Back” action that launches a guided wizard.</w:t>
      </w:r>
    </w:p>
    <w:p>
      <w:pPr>
        <w:spacing w:after="80"/>
      </w:pPr>
      <w:r>
        <w:rPr>
          <w:sz w:val="22"/>
          <w:szCs w:val="22"/>
        </w:rPr>
        <w:t xml:space="preserve">18. The wizard shall require the user to select an add-back type before proceeding: PNL Account/Vendor, Balance Sheet Change, Manual Adjustment, or Recast (post-close normalization).</w:t>
      </w:r>
    </w:p>
    <w:p>
      <w:pPr>
        <w:spacing w:after="80"/>
      </w:pPr>
      <w:r>
        <w:rPr>
          <w:sz w:val="22"/>
          <w:szCs w:val="22"/>
        </w:rPr>
        <w:t xml:space="preserve">19. For PNL Account/Vendor add-backs, the system shall require selection of the specific GL account (and vendor-level detail, if applicable) and shall pull the dollar amount directly from the GL; this amount shall not be manually overridden under any circumstance.</w:t>
      </w:r>
    </w:p>
    <w:p>
      <w:pPr>
        <w:spacing w:after="80"/>
      </w:pPr>
      <w:r>
        <w:rPr>
          <w:sz w:val="22"/>
          <w:szCs w:val="22"/>
        </w:rPr>
        <w:t xml:space="preserve">20. For Manual Adjustment add-backs, the system shall allow a free-form dollar amount and shall require a written explanation before the add-back can be saved.</w:t>
      </w:r>
    </w:p>
    <w:p>
      <w:pPr>
        <w:spacing w:after="80"/>
      </w:pPr>
      <w:r>
        <w:rPr>
          <w:sz w:val="22"/>
          <w:szCs w:val="22"/>
        </w:rPr>
        <w:t xml:space="preserve">21. For Recast add-backs, the system shall allow the user to select an existing PNL account and enter a normalized post-close value, and shall calculate the add-back as the delta between the normalized value and the actual GL value.</w:t>
      </w:r>
    </w:p>
    <w:p>
      <w:pPr>
        <w:spacing w:after="80"/>
      </w:pPr>
      <w:r>
        <w:rPr>
          <w:sz w:val="22"/>
          <w:szCs w:val="22"/>
        </w:rPr>
        <w:t xml:space="preserve">22. The system shall allow the user to specify, per add-back, whether the amount is entered at GL/monthly account-level detail or as a single smoothed amount applied evenly across all displayed periods.</w:t>
      </w:r>
    </w:p>
    <w:p>
      <w:pPr>
        <w:spacing w:after="80"/>
      </w:pPr>
      <w:r>
        <w:rPr>
          <w:sz w:val="22"/>
          <w:szCs w:val="22"/>
        </w:rPr>
        <w:t xml:space="preserve">23. The system shall support sub-account-level add-backs (e.g., “Officer Health Insurance” as a subset of a broader “Health Insurance” GL account) by allowing a manually entered partial dollar amount tied to the parent GL account, with a required supporting note.</w:t>
      </w:r>
    </w:p>
    <w:p>
      <w:pPr>
        <w:spacing w:after="80"/>
      </w:pPr>
      <w:r>
        <w:rPr>
          <w:sz w:val="22"/>
          <w:szCs w:val="22"/>
        </w:rPr>
        <w:t xml:space="preserve">24. The system shall persist every add-back as a record in a shared, cross-module Add-Back Library, tagged to the company/deal, so it can be referenced by the CIM/SIM Builder Adjusted EBITDA build and the future Projection Model.</w:t>
      </w:r>
    </w:p>
    <w:p>
      <w:pPr>
        <w:spacing w:after="80"/>
      </w:pPr>
      <w:r>
        <w:rPr>
          <w:sz w:val="22"/>
          <w:szCs w:val="22"/>
        </w:rPr>
        <w:t xml:space="preserve">25. Each stored add-back record shall retain, at minimum: add-back type, linked GL account(s)/vendor(s), amount(s) by period, supporting notes, and any linked Q&amp;A reference(s).</w:t>
      </w:r>
    </w:p>
    <w:p>
      <w:pPr>
        <w:spacing w:after="80"/>
      </w:pPr>
      <w:r>
        <w:rPr>
          <w:sz w:val="22"/>
          <w:szCs w:val="22"/>
        </w:rPr>
        <w:t xml:space="preserve">26. The system shall allow the user to group multiple add-back line items under a user-defined subtotal/category header (e.g., “Owner-Related Add-Backs”) to manage visual density.</w:t>
      </w:r>
    </w:p>
    <w:p>
      <w:pPr>
        <w:spacing w:after="80"/>
      </w:pPr>
      <w:r>
        <w:rPr>
          <w:sz w:val="22"/>
          <w:szCs w:val="22"/>
        </w:rPr>
        <w:t xml:space="preserve">27. The system shall allow grouped add-back categories to be collapsed or expanded without loss of underlying account-level detail.</w:t>
      </w:r>
    </w:p>
    <w:p>
      <w:pPr>
        <w:spacing w:after="80"/>
      </w:pPr>
      <w:r>
        <w:rPr>
          <w:sz w:val="22"/>
          <w:szCs w:val="22"/>
        </w:rPr>
        <w:t xml:space="preserve">28. The system shall display a Commentary/Notes field adjacent to every bridge line item (EBIT add-backs and discretionary add-backs alike).</w:t>
      </w:r>
    </w:p>
    <w:p>
      <w:pPr>
        <w:spacing w:after="80"/>
      </w:pPr>
      <w:r>
        <w:rPr>
          <w:sz w:val="22"/>
          <w:szCs w:val="22"/>
        </w:rPr>
        <w:t xml:space="preserve">29. The system shall pre-populate a standard, non-deal-specific default note for each EBIT add-back line, explaining the general accounting rationale for the adjustment (e.g., why interest income is added back); the user shall be able to edit this default text per deal.</w:t>
      </w:r>
    </w:p>
    <w:p>
      <w:pPr>
        <w:spacing w:after="80"/>
      </w:pPr>
      <w:r>
        <w:rPr>
          <w:sz w:val="22"/>
          <w:szCs w:val="22"/>
        </w:rPr>
        <w:t xml:space="preserve">30. The system shall pre-populate the Net Income line's note with “Sourced from Company Financials” or “Sourced from Tax Return” based on the active data source toggle.</w:t>
      </w:r>
    </w:p>
    <w:p>
      <w:pPr>
        <w:spacing w:after="80"/>
      </w:pPr>
      <w:r>
        <w:rPr>
          <w:sz w:val="22"/>
          <w:szCs w:val="22"/>
        </w:rPr>
        <w:t xml:space="preserve">31. The system shall allow the user to manually enter or edit commentary on any add-back line.</w:t>
      </w:r>
    </w:p>
    <w:p>
      <w:pPr>
        <w:spacing w:after="80"/>
      </w:pPr>
      <w:r>
        <w:rPr>
          <w:sz w:val="22"/>
          <w:szCs w:val="22"/>
        </w:rPr>
        <w:t xml:space="preserve">32. When tax-return-sourced owner compensation data is available, the system shall auto-populate a suggested Owner Compensation add-back drawn from the tax return.</w:t>
      </w:r>
    </w:p>
    <w:p>
      <w:pPr>
        <w:spacing w:after="80"/>
      </w:pPr>
      <w:r>
        <w:rPr>
          <w:sz w:val="22"/>
          <w:szCs w:val="22"/>
        </w:rPr>
        <w:t xml:space="preserve">33. The system shall check whether the tax-return-sourced owner compensation figure also appears as an identifiable line item within the company financials/GL, and shall visually flag any discrepancy between the two for user review.</w:t>
      </w:r>
    </w:p>
    <w:p>
      <w:pPr>
        <w:spacing w:after="80"/>
      </w:pPr>
      <w:r>
        <w:rPr>
          <w:sz w:val="22"/>
          <w:szCs w:val="22"/>
        </w:rPr>
        <w:t xml:space="preserve">34. The system shall allow the user to upload supporting documents (e.g., W-2s) directly against an add-back record.</w:t>
      </w:r>
    </w:p>
    <w:p>
      <w:pPr>
        <w:spacing w:after="80"/>
      </w:pPr>
      <w:r>
        <w:rPr>
          <w:sz w:val="22"/>
          <w:szCs w:val="22"/>
        </w:rPr>
        <w:t xml:space="preserve">35. Supporting documents uploaded against an add-back shall also be stored in and accessible from the Data Room, tagged to the source deal.</w:t>
      </w:r>
    </w:p>
    <w:p>
      <w:pPr>
        <w:spacing w:after="80"/>
      </w:pPr>
      <w:r>
        <w:rPr>
          <w:sz w:val="22"/>
          <w:szCs w:val="22"/>
        </w:rPr>
        <w:t xml:space="preserve">36. When the ingested Tax Return document is available, the system shall auto-attach it as supporting documentation for tax-return-sourced add-backs (e.g., owner compensation).</w:t>
      </w:r>
    </w:p>
    <w:p>
      <w:pPr>
        <w:spacing w:after="80"/>
      </w:pPr>
      <w:r>
        <w:rPr>
          <w:sz w:val="22"/>
          <w:szCs w:val="22"/>
        </w:rPr>
        <w:t xml:space="preserve">37. The system shall allow the user to link an add-back record to one or more existing Q&amp;A entries using the structured citation architecture defined in QA-0002, displaying the linked Q&amp;A reference number (e.g., “Q&amp;A #25”) inline with the add-back.</w:t>
      </w:r>
    </w:p>
    <w:p>
      <w:pPr>
        <w:spacing w:after="80"/>
      </w:pPr>
      <w:r>
        <w:rPr>
          <w:sz w:val="22"/>
          <w:szCs w:val="22"/>
        </w:rPr>
        <w:t xml:space="preserve">38. The system shall allow the user to request an auto-generated suggested commentary draft for an add-back, based on its linked Q&amp;A content; this suggestion shall always be presented as an editable draft requiring explicit user review and confirmation before being saved — the system shall never auto-post or auto-finalize commentary without human confirmation, consistent with the platform's human-authored Q&amp;A rule.</w:t>
      </w:r>
    </w:p>
    <w:p>
      <w:pPr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4. Data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404"/>
        <w:gridCol w:w="4212"/>
      </w:tblGrid>
      <w:tr>
        <w:tc>
          <w:tcPr>
            <w:tcW w:type="dxa" w:w="374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Element</w:t>
            </w:r>
          </w:p>
        </w:tc>
        <w:tc>
          <w:tcPr>
            <w:tcW w:type="dxa" w:w="1404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Read/Write</w:t>
            </w:r>
          </w:p>
        </w:tc>
        <w:tc>
          <w:tcPr>
            <w:tcW w:type="dxa" w:w="421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/ Destination</w:t>
            </w:r>
          </w:p>
        </w:tc>
      </w:tr>
      <w:tr>
        <w:tc>
          <w:tcPr>
            <w:tcW w:type="dxa" w:w="374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Net Income (Company Financials)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Read</w:t>
            </w:r>
          </w:p>
        </w:tc>
        <w:tc>
          <w:tcPr>
            <w:tcW w:type="dxa" w:w="4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GL / Trial Balance (DB-0005 validated financial data)</w:t>
            </w:r>
          </w:p>
        </w:tc>
      </w:tr>
      <w:tr>
        <w:tc>
          <w:tcPr>
            <w:tcW w:type="dxa" w:w="374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Net Income (Tax Return)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Read</w:t>
            </w:r>
          </w:p>
        </w:tc>
        <w:tc>
          <w:tcPr>
            <w:tcW w:type="dxa" w:w="4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Tax Return data table (QE-0001 Tax Reconciliation)</w:t>
            </w:r>
          </w:p>
        </w:tc>
      </w:tr>
      <w:tr>
        <w:tc>
          <w:tcPr>
            <w:tcW w:type="dxa" w:w="374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Interest Income / Interest Expense / Income Tax Expense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Read</w:t>
            </w:r>
          </w:p>
        </w:tc>
        <w:tc>
          <w:tcPr>
            <w:tcW w:type="dxa" w:w="4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GL Chart of Accounts, mapped account groupings (DB-0003 COA)</w:t>
            </w:r>
          </w:p>
        </w:tc>
      </w:tr>
      <w:tr>
        <w:tc>
          <w:tcPr>
            <w:tcW w:type="dxa" w:w="374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Depreciation Expense / Amortization Expense flag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Read</w:t>
            </w:r>
          </w:p>
        </w:tc>
        <w:tc>
          <w:tcPr>
            <w:tcW w:type="dxa" w:w="4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Centralized D&amp;A account-level flag on COA (DB-0003 / DB-0006 – flag to be added, see Open Questions)</w:t>
            </w:r>
          </w:p>
        </w:tc>
      </w:tr>
      <w:tr>
        <w:tc>
          <w:tcPr>
            <w:tcW w:type="dxa" w:w="374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Add-Back records (type, linked account(s), amount(s) by period, notes)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Read/Write</w:t>
            </w:r>
          </w:p>
        </w:tc>
        <w:tc>
          <w:tcPr>
            <w:tcW w:type="dxa" w:w="4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Shared Add-Back Library table – new DB feature, not yet specced (see Open Questions)</w:t>
            </w:r>
          </w:p>
        </w:tc>
      </w:tr>
      <w:tr>
        <w:tc>
          <w:tcPr>
            <w:tcW w:type="dxa" w:w="374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Owner Compensation (Tax Return-sourced)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Read</w:t>
            </w:r>
          </w:p>
        </w:tc>
        <w:tc>
          <w:tcPr>
            <w:tcW w:type="dxa" w:w="4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Tax Return data table (QE-0001 / QE-0002)</w:t>
            </w:r>
          </w:p>
        </w:tc>
      </w:tr>
      <w:tr>
        <w:tc>
          <w:tcPr>
            <w:tcW w:type="dxa" w:w="374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Supporting documents (e.g., W-2s, tax return)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Write</w:t>
            </w:r>
          </w:p>
        </w:tc>
        <w:tc>
          <w:tcPr>
            <w:tcW w:type="dxa" w:w="4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Data Room, tagged to deal (DR module)</w:t>
            </w:r>
          </w:p>
        </w:tc>
      </w:tr>
      <w:tr>
        <w:tc>
          <w:tcPr>
            <w:tcW w:type="dxa" w:w="374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Linked Q&amp;A reference(s) and citation tag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Read</w:t>
            </w:r>
          </w:p>
        </w:tc>
        <w:tc>
          <w:tcPr>
            <w:tcW w:type="dxa" w:w="4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QA-0002 structured tagging / citation architecture</w:t>
            </w:r>
          </w:p>
        </w:tc>
      </w:tr>
      <w:tr>
        <w:tc>
          <w:tcPr>
            <w:tcW w:type="dxa" w:w="374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SDE vs. Adjusted EBITDA metric convention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Read</w:t>
            </w:r>
          </w:p>
        </w:tc>
        <w:tc>
          <w:tcPr>
            <w:tcW w:type="dxa" w:w="4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Company Profile settings (CP-0001)</w:t>
            </w:r>
          </w:p>
        </w:tc>
      </w:tr>
      <w:tr>
        <w:tc>
          <w:tcPr>
            <w:tcW w:type="dxa" w:w="374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Revenue (for margin calculation)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Read</w:t>
            </w:r>
          </w:p>
        </w:tc>
        <w:tc>
          <w:tcPr>
            <w:tcW w:type="dxa" w:w="4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GL / Reports module (RP-0001)</w:t>
            </w:r>
          </w:p>
        </w:tc>
      </w:tr>
    </w:tbl>
    <w:p>
      <w:pPr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5. Access &amp; Security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Roles with access: Accountant / QoE Preparer (full edit – build bridge, manage add-backs, upload supporting documents); Broker (view, and edit if separately granted preparer-level access); Buyer (view, subject to deal stage and grant); Company (view, subject to grant).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Roles explicitly excluded: Bank (excluded until the deal reaches underwriting stage, per platform convention).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Deal isolation confirmed: this feature is scoped to a single company/deal only. No cross-deal or cross-company visibility of data, documents, or search results.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GL-linked add-back amounts (PNL Account/Vendor type) are locked with no manual override at any permission level; only Manual Adjustment and Recast add-back types accept user-entered dollar figures, each with a required note.</w:t>
      </w:r>
    </w:p>
    <w:p>
      <w:pPr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6. UI / UX Notes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Platform: Web only (full analytical build-out; not part of the Web + Mobile (light) companion experience).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Wireframe reference: N/A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Layout resembles a P&amp;L-style report: fiscal years/periods as columns (user-selectable include/exclude, with an Annual/Monthly aggregation toggle), Net Income as the first row, EBIT add-backs individually listed leading to a Reported EBITDA subtotal, followed by a grouped/collapsible Add-Backs section, and a final Adjusted EBITDA/SDE bottom line with margin. A Commentary/Notes panel runs alongside each row. The “Add New Add-Back” wizard opens as a guided, step-based modal (type selection → account/vendor or manual entry → period allocation → notes/Q&amp;A linking → supporting docs). Data source toggle (Financials/Tax Return) is persistent and prominent at the top of the tab.</w:t>
      </w:r>
    </w:p>
    <w:p>
      <w:pPr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7.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5148"/>
      </w:tblGrid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Related Feature</w:t>
            </w:r>
          </w:p>
        </w:tc>
        <w:tc>
          <w:tcPr>
            <w:tcW w:type="dxa" w:w="1872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5148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QE-0001 Tax Reconciliation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Depends on</w:t>
            </w:r>
          </w:p>
        </w:tc>
        <w:tc>
          <w:tcPr>
            <w:tcW w:type="dxa" w:w="51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Supplies tax return net income and tax-to-financial mapping needed for the data source toggle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QE-0002 Full Tax Return Mapping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Depends on</w:t>
            </w:r>
          </w:p>
        </w:tc>
        <w:tc>
          <w:tcPr>
            <w:tcW w:type="dxa" w:w="51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Supplies owner compensation and other tax-return line detail used for auto-populated add-backs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DB-0003 / DB-0006 Chart of Accounts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Depends on</w:t>
            </w:r>
          </w:p>
        </w:tc>
        <w:tc>
          <w:tcPr>
            <w:tcW w:type="dxa" w:w="51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Requires a new centralized D&amp;A account-level flag, shared with QE-0001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QA-0002 Q&amp;A Linking to Other Modules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Depends on</w:t>
            </w:r>
          </w:p>
        </w:tc>
        <w:tc>
          <w:tcPr>
            <w:tcW w:type="dxa" w:w="51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Provides the structured tagging/citation architecture used to link add-backs to Q&amp;A entries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CP-0001 Company Profile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Depends on</w:t>
            </w:r>
          </w:p>
        </w:tc>
        <w:tc>
          <w:tcPr>
            <w:tcW w:type="dxa" w:w="51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Determines whether the bottom line is SDE or Adjusted EBITDA, and drives the owner compensation add-back rule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Data Room (DR module)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Depends on</w:t>
            </w:r>
          </w:p>
        </w:tc>
        <w:tc>
          <w:tcPr>
            <w:tcW w:type="dxa" w:w="51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Supporting documents uploaded on an add-back must also be stored in and retrievable from the Data Room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Add-Back Library (new, unspecced)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Depends on</w:t>
            </w:r>
          </w:p>
        </w:tc>
        <w:tc>
          <w:tcPr>
            <w:tcW w:type="dxa" w:w="51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This feature both reads and writes to a shared cross-module Add-Back Library that does not yet have a feature ID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Audit trail / activity log (cross-cutting gap)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Depends on</w:t>
            </w:r>
          </w:p>
        </w:tc>
        <w:tc>
          <w:tcPr>
            <w:tcW w:type="dxa" w:w="51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GL-linked add-back amounts are locked with no override; changes to add-back records should be captured in the audit trail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CM-XXXX SIM/CIM Builder Adjusted EBITDA (unspecced)</w:t>
            </w:r>
          </w:p>
        </w:tc>
        <w:tc>
          <w:tcPr>
            <w:tcW w:type="dxa" w:w="187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Related, not blocking</w:t>
            </w:r>
          </w:p>
        </w:tc>
        <w:tc>
          <w:tcPr>
            <w:tcW w:type="dxa" w:w="514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Structurally similar calculation, separately owned by the broker-facing CIM/SIM builder; see Out of Scope</w:t>
            </w:r>
          </w:p>
        </w:tc>
      </w:tr>
    </w:tbl>
    <w:p>
      <w:pPr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8. Out of Scope / Deferred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CIM/SIM Builder's own Adjusted EBITDA/SDE build (Module CM) – structurally similar but a separately owned, separately specced feature reflecting the broker's own support/reject decisions on add-backs.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Full tax-return line-item-to-COA mapping – owned by QE-0002.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Consumption of stored Add-Back Library records by the future Projection Model – to be specced when that module is scoped.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CIM Comparison / variance highlighting against a broker's reported bridge – owned by QE-0008.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Working capital, customer/vendor concentration, AR/AP aging, and other QoE workbook tabs – each owned by its own feature (QE-0006, QE-0009 through QE-0012).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Design of the shared Add-Back Library's own schema/ownership as a standalone database feature – flagged as an Open Question below pending its own feature ID.</w:t>
      </w:r>
    </w:p>
    <w:p>
      <w:pPr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9. Open Questions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What is the exact field-level translation logic when a user toggles between Company Financials and Tax Return as the data source for an existing add-back record — which mappings carry forward automatically, and which require the user to re-enter or re-link? This depends on the mapping detail to be finalized in QE-0001/QE-0002.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Add-Back Library needs to be formalized as its own database feature/spec (shared schema across QE-0004, the CM builder's Adjusted EBITDA build, and the future Projection Model) – it is not currently represented on the product list and needs a feature ID.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centralized Depreciation/Amortization account-level flag needs to be added to the Chart of Accounts – confirm whether this is an amendment to DB-0003 or DB-0006, or its own small spec.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Should the default standard commentary text for each EBIT add-back be configurable per firm/tenant, or hardcoded platform-wide?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Should user-defined add-back subtotal/category groupings be fully free-text, or should the system offer a predefined starter list of common categories (e.g., “Owner-Related,” “One-Time,” “Non-Operating”) that users can extend?</w:t>
      </w:r>
    </w:p>
    <w:p>
      <w:pPr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8"/>
          <w:szCs w:val="28"/>
        </w:rPr>
        <w:t xml:space="preserve">10. Acceptance Criteria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Toggling the data source between Company Financials and Tax Return recalculates all rows correctly and never blends the two data sets.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Reported EBITDA subtotal correctly equals Net Income + Interest Expense − Interest Income + Depreciation + Amortization + Income Tax Expense for every displayed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Depreciation and Amortization rows populate correctly using the centralized COA-level flag, with no manual account hunting required.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Add-Back Wizard supports all four add-back types (PNL Account/Vendor, Balance Sheet Change, Manual Adjustment, Recast) with correct amount-locking and note requirements enforced per type.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Add-back records persist to the shared Add-Back Library and are retrievable by company/deal.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Default commentary is present for every EBIT add-back line and is editable; the Net Income note correctly reflects the active data source.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Q&amp;A links display the correct reference number inline, and any AI-suggested commentary appears only as an editable draft requiring explicit user confirmation before saving.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Supporting documents uploaded against an add-back appear in both the add-back record and the Data Room, correctly tagged to the deal.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Owner compensation auto-populates from the tax return when available, with a visible flag if it does not reconcile to the financials.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year include/exclude control and the Annual/Monthly toggle both correctly reshape the displayed columns without altering underlying data.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bottom-line label (Adjusted EBITDA vs. SDE), the owner-compensation add-back rule, and the margin calculation all correctly reflect the Company Profile's configured convention.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F0214BC29ADA4AA8CFF80B67D2DD03" ma:contentTypeVersion="3" ma:contentTypeDescription="Create a new document." ma:contentTypeScope="" ma:versionID="a5913b1f355fdbd3b430fc4b3e74578d">
  <xsd:schema xmlns:xsd="http://www.w3.org/2001/XMLSchema" xmlns:xs="http://www.w3.org/2001/XMLSchema" xmlns:p="http://schemas.microsoft.com/office/2006/metadata/properties" xmlns:ns2="cfc27655-a87d-44f0-8c14-97832468632f" targetNamespace="http://schemas.microsoft.com/office/2006/metadata/properties" ma:root="true" ma:fieldsID="30183fae3b956c9523af1ba6e10ee2d3" ns2:_="">
    <xsd:import namespace="cfc27655-a87d-44f0-8c14-978324686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c27655-a87d-44f0-8c14-9783246863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7BB7B1-5FDD-4290-BBB9-2D6F92BEAE06}"/>
</file>

<file path=customXml/itemProps2.xml><?xml version="1.0" encoding="utf-8"?>
<ds:datastoreItem xmlns:ds="http://schemas.openxmlformats.org/officeDocument/2006/customXml" ds:itemID="{9E9FC0D8-CA32-440E-9F02-1BA57AAF0030}"/>
</file>

<file path=customXml/itemProps3.xml><?xml version="1.0" encoding="utf-8"?>
<ds:datastoreItem xmlns:ds="http://schemas.openxmlformats.org/officeDocument/2006/customXml" ds:itemID="{2FD590C3-B104-44DF-8BE4-96407FAB073D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2026-08-15T04:22:10Z</dcterms:created>
  <dcterms:modified xsi:type="dcterms:W3CDTF">2026-08-15T04:22:10Z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0x01010091F0214BC29ADA4AA8CFF80B67D2DD03</vt:lpwstr>
  </property>
</Properties>
</file>